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A444D" w14:textId="77777777" w:rsidR="00CE1AA5" w:rsidRPr="001E00CE" w:rsidRDefault="00CE1AA5" w:rsidP="001E00CE"/>
    <w:tbl>
      <w:tblPr>
        <w:tblStyle w:val="TableGrid"/>
        <w:tblW w:w="10296" w:type="dxa"/>
        <w:tblBorders>
          <w:left w:val="none" w:sz="0" w:space="0" w:color="auto"/>
        </w:tblBorders>
        <w:tblLook w:val="04A0" w:firstRow="1" w:lastRow="0" w:firstColumn="1" w:lastColumn="0" w:noHBand="0" w:noVBand="1"/>
      </w:tblPr>
      <w:tblGrid>
        <w:gridCol w:w="5148"/>
        <w:gridCol w:w="1260"/>
        <w:gridCol w:w="3888"/>
      </w:tblGrid>
      <w:tr w:rsidR="00CE1AA5" w14:paraId="3A03C5D2" w14:textId="77777777" w:rsidTr="00941C35">
        <w:tc>
          <w:tcPr>
            <w:tcW w:w="5148" w:type="dxa"/>
            <w:tcBorders>
              <w:left w:val="single" w:sz="4" w:space="0" w:color="auto"/>
            </w:tcBorders>
          </w:tcPr>
          <w:p w14:paraId="1E2B25C0" w14:textId="77777777" w:rsidR="00CE1AA5" w:rsidRPr="002137D4" w:rsidRDefault="00CE1AA5" w:rsidP="00D877E2">
            <w:pPr>
              <w:spacing w:before="120"/>
              <w:jc w:val="center"/>
              <w:rPr>
                <w:b/>
              </w:rPr>
            </w:pPr>
            <w:r w:rsidRPr="002137D4">
              <w:rPr>
                <w:b/>
              </w:rPr>
              <w:t>SUBCONTRACT</w:t>
            </w:r>
          </w:p>
          <w:p w14:paraId="7854002D" w14:textId="77777777" w:rsidR="00CE1AA5" w:rsidRPr="002137D4" w:rsidRDefault="00CE1AA5" w:rsidP="00D877E2">
            <w:pPr>
              <w:jc w:val="center"/>
              <w:rPr>
                <w:b/>
              </w:rPr>
            </w:pPr>
          </w:p>
          <w:p w14:paraId="4997BED9" w14:textId="77777777" w:rsidR="00CE1AA5" w:rsidRPr="002137D4" w:rsidRDefault="00CE1AA5" w:rsidP="00D877E2">
            <w:pPr>
              <w:jc w:val="center"/>
              <w:rPr>
                <w:b/>
              </w:rPr>
            </w:pPr>
            <w:r w:rsidRPr="002137D4">
              <w:rPr>
                <w:b/>
              </w:rPr>
              <w:t xml:space="preserve">NO. </w:t>
            </w:r>
            <w:r w:rsidRPr="00B63888">
              <w:rPr>
                <w:b/>
                <w:noProof/>
              </w:rPr>
              <w:t>B644990</w:t>
            </w:r>
          </w:p>
          <w:p w14:paraId="5D817873" w14:textId="77777777" w:rsidR="00CE1AA5" w:rsidRDefault="00CE1AA5" w:rsidP="00D877E2">
            <w:pPr>
              <w:jc w:val="center"/>
            </w:pPr>
          </w:p>
        </w:tc>
        <w:tc>
          <w:tcPr>
            <w:tcW w:w="1260" w:type="dxa"/>
            <w:tcBorders>
              <w:bottom w:val="single" w:sz="4" w:space="0" w:color="auto"/>
              <w:right w:val="nil"/>
            </w:tcBorders>
          </w:tcPr>
          <w:p w14:paraId="4AF6CA04" w14:textId="77777777" w:rsidR="00CE1AA5" w:rsidRDefault="00CE1AA5" w:rsidP="00D877E2">
            <w:pPr>
              <w:spacing w:before="120"/>
              <w:rPr>
                <w:color w:val="000000"/>
                <w:sz w:val="22"/>
              </w:rPr>
            </w:pPr>
            <w:r>
              <w:rPr>
                <w:noProof/>
                <w:color w:val="000000"/>
              </w:rPr>
              <w:drawing>
                <wp:inline distT="0" distB="0" distL="0" distR="0" wp14:anchorId="61B7B8FA" wp14:editId="6040437B">
                  <wp:extent cx="523875" cy="552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552450"/>
                          </a:xfrm>
                          <a:prstGeom prst="rect">
                            <a:avLst/>
                          </a:prstGeom>
                          <a:noFill/>
                          <a:ln>
                            <a:noFill/>
                          </a:ln>
                        </pic:spPr>
                      </pic:pic>
                    </a:graphicData>
                  </a:graphic>
                </wp:inline>
              </w:drawing>
            </w:r>
          </w:p>
        </w:tc>
        <w:tc>
          <w:tcPr>
            <w:tcW w:w="3888" w:type="dxa"/>
            <w:tcBorders>
              <w:left w:val="nil"/>
              <w:bottom w:val="single" w:sz="4" w:space="0" w:color="auto"/>
              <w:right w:val="single" w:sz="4" w:space="0" w:color="auto"/>
            </w:tcBorders>
          </w:tcPr>
          <w:p w14:paraId="78B0C70D" w14:textId="77777777" w:rsidR="00CE1AA5" w:rsidRDefault="00CE1AA5" w:rsidP="00D877E2">
            <w:pPr>
              <w:spacing w:before="120"/>
              <w:ind w:left="100"/>
              <w:rPr>
                <w:color w:val="000000"/>
                <w:sz w:val="20"/>
              </w:rPr>
            </w:pPr>
            <w:r>
              <w:rPr>
                <w:color w:val="000000"/>
                <w:sz w:val="20"/>
              </w:rPr>
              <w:t>Lawrence Livermore National Laboratory</w:t>
            </w:r>
          </w:p>
          <w:p w14:paraId="30D1487E" w14:textId="77777777" w:rsidR="00CE1AA5" w:rsidRDefault="00CE1AA5" w:rsidP="00D877E2">
            <w:pPr>
              <w:ind w:left="100"/>
              <w:rPr>
                <w:color w:val="000000"/>
                <w:sz w:val="20"/>
              </w:rPr>
            </w:pPr>
            <w:r>
              <w:rPr>
                <w:color w:val="000000"/>
                <w:sz w:val="20"/>
              </w:rPr>
              <w:t>Supply Chain Management Department</w:t>
            </w:r>
          </w:p>
          <w:p w14:paraId="67D6CC88" w14:textId="77777777" w:rsidR="00CE1AA5" w:rsidRDefault="00CE1AA5" w:rsidP="00D877E2">
            <w:pPr>
              <w:ind w:left="100"/>
              <w:rPr>
                <w:color w:val="000000"/>
                <w:sz w:val="20"/>
              </w:rPr>
            </w:pPr>
            <w:r>
              <w:rPr>
                <w:color w:val="000000"/>
                <w:sz w:val="20"/>
              </w:rPr>
              <w:t>P.O. Box 5012</w:t>
            </w:r>
          </w:p>
          <w:p w14:paraId="3671778A" w14:textId="77777777" w:rsidR="00CE1AA5" w:rsidRDefault="00CE1AA5" w:rsidP="00D877E2">
            <w:pPr>
              <w:spacing w:after="120"/>
              <w:ind w:left="100"/>
              <w:rPr>
                <w:color w:val="000000"/>
                <w:sz w:val="20"/>
              </w:rPr>
            </w:pPr>
            <w:r>
              <w:rPr>
                <w:color w:val="000000"/>
                <w:sz w:val="20"/>
              </w:rPr>
              <w:t>Livermore, CA  94551</w:t>
            </w:r>
          </w:p>
        </w:tc>
      </w:tr>
      <w:tr w:rsidR="00CE1AA5" w14:paraId="2D81C8AD" w14:textId="77777777" w:rsidTr="00941C35">
        <w:tc>
          <w:tcPr>
            <w:tcW w:w="5148" w:type="dxa"/>
            <w:tcBorders>
              <w:left w:val="single" w:sz="4" w:space="0" w:color="auto"/>
            </w:tcBorders>
          </w:tcPr>
          <w:p w14:paraId="3DC8D737" w14:textId="77777777" w:rsidR="00CE1AA5" w:rsidRPr="002137D4" w:rsidRDefault="00CE1AA5" w:rsidP="00D877E2">
            <w:pPr>
              <w:spacing w:before="120" w:after="120"/>
              <w:rPr>
                <w:b/>
              </w:rPr>
            </w:pPr>
            <w:r w:rsidRPr="002137D4">
              <w:rPr>
                <w:b/>
              </w:rPr>
              <w:t>Subcontractor:</w:t>
            </w:r>
          </w:p>
          <w:p w14:paraId="5CF52F39" w14:textId="77777777" w:rsidR="00CE1AA5" w:rsidRPr="00D170BF" w:rsidRDefault="00CE1AA5" w:rsidP="00D877E2">
            <w:pPr>
              <w:rPr>
                <w:caps/>
                <w:color w:val="000000" w:themeColor="text1"/>
              </w:rPr>
            </w:pPr>
            <w:r w:rsidRPr="00B63888">
              <w:rPr>
                <w:caps/>
                <w:noProof/>
                <w:color w:val="000000" w:themeColor="text1"/>
              </w:rPr>
              <w:t>TBD</w:t>
            </w:r>
          </w:p>
          <w:p w14:paraId="610CE86E" w14:textId="64CE706F" w:rsidR="00CE1AA5" w:rsidRDefault="00CE1AA5" w:rsidP="00D877E2">
            <w:pPr>
              <w:spacing w:after="120"/>
            </w:pPr>
          </w:p>
        </w:tc>
        <w:tc>
          <w:tcPr>
            <w:tcW w:w="5148" w:type="dxa"/>
            <w:gridSpan w:val="2"/>
            <w:tcBorders>
              <w:right w:val="single" w:sz="4" w:space="0" w:color="auto"/>
            </w:tcBorders>
          </w:tcPr>
          <w:p w14:paraId="473DADE9" w14:textId="77777777" w:rsidR="00CE1AA5" w:rsidRPr="002137D4" w:rsidRDefault="00CE1AA5" w:rsidP="00D877E2">
            <w:pPr>
              <w:spacing w:before="120" w:after="120"/>
              <w:rPr>
                <w:b/>
              </w:rPr>
            </w:pPr>
            <w:r w:rsidRPr="002137D4">
              <w:rPr>
                <w:b/>
              </w:rPr>
              <w:t xml:space="preserve">LLNS Contract </w:t>
            </w:r>
            <w:r w:rsidRPr="00E33A9C">
              <w:rPr>
                <w:b/>
              </w:rPr>
              <w:t>Analyst</w:t>
            </w:r>
            <w:r w:rsidRPr="00972DFE">
              <w:rPr>
                <w:b/>
                <w:color w:val="000000" w:themeColor="text1"/>
              </w:rPr>
              <w:t>:</w:t>
            </w:r>
          </w:p>
          <w:p w14:paraId="24459757" w14:textId="77777777" w:rsidR="00CE1AA5" w:rsidRDefault="00CE1AA5" w:rsidP="00D877E2">
            <w:pPr>
              <w:rPr>
                <w:color w:val="000000" w:themeColor="text1"/>
              </w:rPr>
            </w:pPr>
            <w:r w:rsidRPr="00B63888">
              <w:rPr>
                <w:noProof/>
                <w:color w:val="000000" w:themeColor="text1"/>
              </w:rPr>
              <w:t>Gary M. Ward</w:t>
            </w:r>
          </w:p>
          <w:p w14:paraId="4EB7D433" w14:textId="6BB0C846" w:rsidR="00CE1AA5" w:rsidRPr="0002282D" w:rsidRDefault="00CE1AA5" w:rsidP="00D877E2">
            <w:pPr>
              <w:tabs>
                <w:tab w:val="left" w:pos="972"/>
              </w:tabs>
              <w:rPr>
                <w:color w:val="000000" w:themeColor="text1"/>
              </w:rPr>
            </w:pPr>
            <w:r w:rsidRPr="0002282D">
              <w:rPr>
                <w:b/>
                <w:color w:val="000000" w:themeColor="text1"/>
              </w:rPr>
              <w:t>Phone:</w:t>
            </w:r>
            <w:r>
              <w:rPr>
                <w:b/>
                <w:color w:val="000000" w:themeColor="text1"/>
              </w:rPr>
              <w:tab/>
            </w:r>
            <w:r w:rsidRPr="0002282D">
              <w:rPr>
                <w:color w:val="000000" w:themeColor="text1"/>
              </w:rPr>
              <w:t>(925) 42</w:t>
            </w:r>
            <w:r w:rsidRPr="00B63888">
              <w:rPr>
                <w:noProof/>
                <w:color w:val="000000" w:themeColor="text1"/>
              </w:rPr>
              <w:t>3</w:t>
            </w:r>
            <w:r w:rsidR="00941C35">
              <w:rPr>
                <w:noProof/>
                <w:color w:val="000000" w:themeColor="text1"/>
              </w:rPr>
              <w:t>-</w:t>
            </w:r>
            <w:r w:rsidRPr="00B63888">
              <w:rPr>
                <w:noProof/>
                <w:color w:val="000000" w:themeColor="text1"/>
              </w:rPr>
              <w:t>5952</w:t>
            </w:r>
          </w:p>
          <w:p w14:paraId="7D547E64" w14:textId="7A3EB5ED" w:rsidR="00CE1AA5" w:rsidRDefault="00CE1AA5" w:rsidP="00D877E2">
            <w:pPr>
              <w:tabs>
                <w:tab w:val="left" w:pos="957"/>
              </w:tabs>
            </w:pPr>
            <w:r w:rsidRPr="0002282D">
              <w:rPr>
                <w:b/>
                <w:color w:val="000000" w:themeColor="text1"/>
              </w:rPr>
              <w:t>E-Mail:</w:t>
            </w:r>
            <w:r w:rsidRPr="0002282D">
              <w:rPr>
                <w:color w:val="000000" w:themeColor="text1"/>
              </w:rPr>
              <w:tab/>
            </w:r>
            <w:hyperlink r:id="rId9" w:history="1">
              <w:r w:rsidR="00941C35" w:rsidRPr="00AE7B1D">
                <w:rPr>
                  <w:rStyle w:val="Hyperlink"/>
                  <w:noProof/>
                </w:rPr>
                <w:t>ward31</w:t>
              </w:r>
              <w:r w:rsidR="00941C35" w:rsidRPr="00AE7B1D">
                <w:rPr>
                  <w:rStyle w:val="Hyperlink"/>
                </w:rPr>
                <w:t>@llnl.gov</w:t>
              </w:r>
            </w:hyperlink>
            <w:r w:rsidR="00941C35">
              <w:t xml:space="preserve"> </w:t>
            </w:r>
          </w:p>
        </w:tc>
      </w:tr>
    </w:tbl>
    <w:p w14:paraId="66FC628C" w14:textId="77777777" w:rsidR="00CE1AA5" w:rsidRPr="002137D4" w:rsidRDefault="00CE1AA5" w:rsidP="00CD2082">
      <w:pPr>
        <w:keepNext/>
        <w:spacing w:before="120" w:after="60"/>
        <w:rPr>
          <w:b/>
        </w:rPr>
      </w:pPr>
      <w:r w:rsidRPr="002137D4">
        <w:rPr>
          <w:b/>
        </w:rPr>
        <w:t>Introduction</w:t>
      </w:r>
    </w:p>
    <w:p w14:paraId="7B5D7C8F" w14:textId="17A0C358" w:rsidR="00CE1AA5" w:rsidRPr="00FC7620" w:rsidRDefault="00CE1AA5" w:rsidP="00CD2082">
      <w:pPr>
        <w:pStyle w:val="ArticleParagraph"/>
        <w:rPr>
          <w:rFonts w:cs="Times New Roman"/>
        </w:rPr>
      </w:pPr>
      <w:r w:rsidRPr="00FC7620">
        <w:rPr>
          <w:rFonts w:cs="Times New Roman"/>
        </w:rPr>
        <w:t xml:space="preserve">This is a </w:t>
      </w:r>
      <w:r w:rsidRPr="00FC7620">
        <w:rPr>
          <w:rFonts w:cs="Times New Roman"/>
          <w:noProof/>
        </w:rPr>
        <w:t>Fixed Price</w:t>
      </w:r>
      <w:r w:rsidRPr="00FC7620">
        <w:rPr>
          <w:rFonts w:cs="Times New Roman"/>
        </w:rPr>
        <w:t xml:space="preserve"> Subcontract for</w:t>
      </w:r>
      <w:r w:rsidR="00FC7620" w:rsidRPr="00FC7620">
        <w:rPr>
          <w:rFonts w:cs="Times New Roman"/>
        </w:rPr>
        <w:t xml:space="preserve"> Next-Generation High Performance Computing Network (NG-HPCN) Research &amp; Development (R&amp;D)</w:t>
      </w:r>
      <w:r w:rsidRPr="00FC7620">
        <w:rPr>
          <w:rFonts w:cs="Times New Roman"/>
        </w:rPr>
        <w:t>, as further described herein.</w:t>
      </w:r>
    </w:p>
    <w:p w14:paraId="4C8062C6" w14:textId="77777777" w:rsidR="00CE1AA5" w:rsidRDefault="00CE1AA5" w:rsidP="00CD2082">
      <w:pPr>
        <w:pStyle w:val="ArticleParagraph"/>
      </w:pPr>
    </w:p>
    <w:p w14:paraId="745A2443" w14:textId="77777777" w:rsidR="00CE1AA5" w:rsidRDefault="00CE1AA5" w:rsidP="00CD2082">
      <w:pPr>
        <w:pStyle w:val="ArticleParagraph"/>
      </w:pPr>
      <w:r>
        <w:t>The parties to this Subcontract are Lawrence Livermore National Security, LLC (hereinafter called "LLNS") and the party identified above as the "Subcontractor".</w:t>
      </w:r>
    </w:p>
    <w:p w14:paraId="412E127B" w14:textId="77777777" w:rsidR="00CE1AA5" w:rsidRDefault="00CE1AA5" w:rsidP="00CD2082">
      <w:pPr>
        <w:pStyle w:val="ArticleParagraph"/>
      </w:pPr>
    </w:p>
    <w:p w14:paraId="1F87C124" w14:textId="77777777" w:rsidR="00CE1AA5" w:rsidRPr="007E4B73" w:rsidRDefault="00CE1AA5" w:rsidP="006E01E7">
      <w:pPr>
        <w:jc w:val="both"/>
        <w:rPr>
          <w:rFonts w:cs="Times New Roman"/>
          <w:iCs/>
          <w:color w:val="0000FF"/>
          <w:szCs w:val="24"/>
        </w:rPr>
      </w:pPr>
      <w:r>
        <w:t xml:space="preserve">This is a Subcontract under Prime Contract No. DE-AC52-07NA27344 between LLNS and the United States Government (hereinafter called "Government"), represented by the Department of Energy National Nuclear Security Administration (hereinafter called "DOE/NNSA"), for the management and operation of the Lawrence Livermore National Laboratory (hereinafter called "LLNL") and the performance of certain research and development work.  </w:t>
      </w:r>
      <w:r w:rsidRPr="00972DFE">
        <w:rPr>
          <w:rFonts w:cs="Times New Roman"/>
          <w:iCs/>
          <w:color w:val="000000" w:themeColor="text1"/>
          <w:szCs w:val="24"/>
        </w:rPr>
        <w:t>Pursuant to the DOE’s policy objectives and Small Business Administration reporting requirements, the existence of this Subcontract and certain related information including the</w:t>
      </w:r>
      <w:r w:rsidRPr="00AE5C30">
        <w:rPr>
          <w:rFonts w:cs="Times New Roman"/>
          <w:iCs/>
          <w:color w:val="0000FF"/>
        </w:rPr>
        <w:t xml:space="preserve"> </w:t>
      </w:r>
      <w:r w:rsidRPr="00D0598A">
        <w:rPr>
          <w:rFonts w:cs="Times New Roman"/>
          <w:iCs/>
        </w:rPr>
        <w:t>general description of the items/services purchased</w:t>
      </w:r>
      <w:r w:rsidRPr="00D0598A">
        <w:rPr>
          <w:rFonts w:cs="Times New Roman"/>
          <w:iCs/>
          <w:szCs w:val="24"/>
        </w:rPr>
        <w:t>, value</w:t>
      </w:r>
      <w:r w:rsidRPr="00972DFE">
        <w:rPr>
          <w:rFonts w:cs="Times New Roman"/>
          <w:iCs/>
          <w:color w:val="000000" w:themeColor="text1"/>
          <w:szCs w:val="24"/>
        </w:rPr>
        <w:t xml:space="preserve">, and place of performance and the Subcontractor’s name, address and socio-economic attributes will be disclosed to the Small Business Administration and published on </w:t>
      </w:r>
      <w:hyperlink r:id="rId10" w:history="1">
        <w:r w:rsidRPr="00972DFE">
          <w:rPr>
            <w:rStyle w:val="Hyperlink"/>
            <w:rFonts w:cs="Times New Roman"/>
            <w:iCs/>
            <w:color w:val="000000" w:themeColor="text1"/>
            <w:szCs w:val="24"/>
          </w:rPr>
          <w:t>www.data.gov</w:t>
        </w:r>
      </w:hyperlink>
      <w:r>
        <w:rPr>
          <w:rStyle w:val="Hyperlink"/>
          <w:rFonts w:cs="Times New Roman"/>
          <w:iCs/>
          <w:color w:val="000000" w:themeColor="text1"/>
          <w:szCs w:val="24"/>
        </w:rPr>
        <w:t>.</w:t>
      </w:r>
    </w:p>
    <w:p w14:paraId="36094E5B" w14:textId="77777777" w:rsidR="00CE1AA5" w:rsidRPr="002137D4" w:rsidRDefault="00CE1AA5" w:rsidP="00CD2082">
      <w:pPr>
        <w:keepNext/>
        <w:spacing w:before="120" w:after="60"/>
        <w:rPr>
          <w:b/>
        </w:rPr>
      </w:pPr>
      <w:r w:rsidRPr="002137D4">
        <w:rPr>
          <w:b/>
        </w:rPr>
        <w:t>Agreement</w:t>
      </w:r>
    </w:p>
    <w:p w14:paraId="1E0FCF74" w14:textId="77777777" w:rsidR="00CE1AA5" w:rsidRDefault="00CE1AA5" w:rsidP="00CD2082">
      <w:pPr>
        <w:pStyle w:val="ArticleParagraph"/>
      </w:pPr>
      <w:r>
        <w:t>The parties agree to perform their respective obligations in accordance with the terms, conditions, and provisions of the attached SCHEDULE OF ARTICLES and any documents referenced or incorporated therein, which together with this Subcontract Signature Page shall collectively constitute the entire Subcontract and shall supersede all prior negotiations, representations, or agreements, whether verbal or written.</w:t>
      </w:r>
    </w:p>
    <w:p w14:paraId="5F96592D" w14:textId="77777777" w:rsidR="00CE1AA5" w:rsidRDefault="00CE1AA5" w:rsidP="001E00CE">
      <w:pPr>
        <w:keepNext/>
      </w:pPr>
    </w:p>
    <w:tbl>
      <w:tblPr>
        <w:tblW w:w="9885" w:type="dxa"/>
        <w:tblLayout w:type="fixed"/>
        <w:tblCellMar>
          <w:left w:w="80" w:type="dxa"/>
          <w:right w:w="80" w:type="dxa"/>
        </w:tblCellMar>
        <w:tblLook w:val="04A0" w:firstRow="1" w:lastRow="0" w:firstColumn="1" w:lastColumn="0" w:noHBand="0" w:noVBand="1"/>
      </w:tblPr>
      <w:tblGrid>
        <w:gridCol w:w="906"/>
        <w:gridCol w:w="4031"/>
        <w:gridCol w:w="900"/>
        <w:gridCol w:w="4048"/>
      </w:tblGrid>
      <w:tr w:rsidR="00CE1AA5" w14:paraId="0CD7163E" w14:textId="77777777" w:rsidTr="00D877E2">
        <w:trPr>
          <w:cantSplit/>
          <w:trHeight w:val="567"/>
        </w:trPr>
        <w:tc>
          <w:tcPr>
            <w:tcW w:w="4940" w:type="dxa"/>
            <w:gridSpan w:val="2"/>
            <w:hideMark/>
          </w:tcPr>
          <w:p w14:paraId="25E7EA7E" w14:textId="77777777" w:rsidR="00CE1AA5" w:rsidRPr="00DA557C" w:rsidRDefault="00CE1AA5" w:rsidP="001E00CE">
            <w:pPr>
              <w:keepNext/>
              <w:jc w:val="center"/>
              <w:rPr>
                <w:b/>
                <w:caps/>
              </w:rPr>
            </w:pPr>
            <w:r w:rsidRPr="00B63888">
              <w:rPr>
                <w:b/>
                <w:caps/>
                <w:noProof/>
                <w:color w:val="000000" w:themeColor="text1"/>
              </w:rPr>
              <w:t>TBD</w:t>
            </w:r>
          </w:p>
        </w:tc>
        <w:tc>
          <w:tcPr>
            <w:tcW w:w="4950" w:type="dxa"/>
            <w:gridSpan w:val="2"/>
            <w:hideMark/>
          </w:tcPr>
          <w:p w14:paraId="4D1BA0C4" w14:textId="77777777" w:rsidR="00CE1AA5" w:rsidRPr="00F93392" w:rsidRDefault="00CE1AA5" w:rsidP="001E00CE">
            <w:pPr>
              <w:keepNext/>
              <w:jc w:val="center"/>
              <w:rPr>
                <w:rFonts w:eastAsiaTheme="minorEastAsia"/>
                <w:b/>
              </w:rPr>
            </w:pPr>
            <w:r w:rsidRPr="00F93392">
              <w:rPr>
                <w:rFonts w:eastAsiaTheme="minorEastAsia"/>
                <w:b/>
              </w:rPr>
              <w:t>LAWRENCE LIVERMORE</w:t>
            </w:r>
          </w:p>
          <w:p w14:paraId="37F35380" w14:textId="77777777" w:rsidR="00CE1AA5" w:rsidRPr="00F93392" w:rsidRDefault="00CE1AA5" w:rsidP="001E00CE">
            <w:pPr>
              <w:keepNext/>
              <w:jc w:val="center"/>
              <w:rPr>
                <w:rFonts w:eastAsiaTheme="minorEastAsia"/>
                <w:b/>
              </w:rPr>
            </w:pPr>
            <w:r w:rsidRPr="00F93392">
              <w:rPr>
                <w:rFonts w:eastAsiaTheme="minorEastAsia"/>
                <w:b/>
              </w:rPr>
              <w:t>NATIONAL SECURITY, LLC</w:t>
            </w:r>
          </w:p>
        </w:tc>
      </w:tr>
      <w:tr w:rsidR="00CE1AA5" w14:paraId="21C25966" w14:textId="77777777" w:rsidTr="00D877E2">
        <w:trPr>
          <w:cantSplit/>
        </w:trPr>
        <w:tc>
          <w:tcPr>
            <w:tcW w:w="907" w:type="dxa"/>
            <w:hideMark/>
          </w:tcPr>
          <w:p w14:paraId="327CF99A" w14:textId="77777777" w:rsidR="00CE1AA5" w:rsidRDefault="00CE1AA5" w:rsidP="00F83978">
            <w:pPr>
              <w:keepNext/>
            </w:pPr>
          </w:p>
          <w:p w14:paraId="7F8061CF" w14:textId="77777777" w:rsidR="00CE1AA5" w:rsidRDefault="00CE1AA5" w:rsidP="00F83978">
            <w:pPr>
              <w:keepNext/>
            </w:pPr>
            <w:r>
              <w:t>BY:</w:t>
            </w:r>
          </w:p>
        </w:tc>
        <w:tc>
          <w:tcPr>
            <w:tcW w:w="4032" w:type="dxa"/>
            <w:tcBorders>
              <w:top w:val="nil"/>
              <w:left w:val="nil"/>
              <w:bottom w:val="single" w:sz="6" w:space="0" w:color="auto"/>
              <w:right w:val="nil"/>
            </w:tcBorders>
          </w:tcPr>
          <w:p w14:paraId="7B352C5F" w14:textId="77777777" w:rsidR="00CE1AA5" w:rsidRDefault="00CE1AA5" w:rsidP="00F83978">
            <w:pPr>
              <w:keepNext/>
            </w:pPr>
          </w:p>
        </w:tc>
        <w:tc>
          <w:tcPr>
            <w:tcW w:w="900" w:type="dxa"/>
            <w:hideMark/>
          </w:tcPr>
          <w:p w14:paraId="41F42130" w14:textId="77777777" w:rsidR="00CE1AA5" w:rsidRDefault="00CE1AA5" w:rsidP="00F83978">
            <w:pPr>
              <w:keepNext/>
            </w:pPr>
          </w:p>
          <w:p w14:paraId="4DA9FED6" w14:textId="77777777" w:rsidR="00CE1AA5" w:rsidRDefault="00CE1AA5" w:rsidP="00F83978">
            <w:pPr>
              <w:keepNext/>
            </w:pPr>
            <w:r>
              <w:t>BY:</w:t>
            </w:r>
          </w:p>
        </w:tc>
        <w:tc>
          <w:tcPr>
            <w:tcW w:w="4050" w:type="dxa"/>
            <w:tcBorders>
              <w:top w:val="nil"/>
              <w:left w:val="nil"/>
              <w:bottom w:val="single" w:sz="6" w:space="0" w:color="auto"/>
              <w:right w:val="nil"/>
            </w:tcBorders>
          </w:tcPr>
          <w:p w14:paraId="0DA22DC3" w14:textId="77777777" w:rsidR="00CE1AA5" w:rsidRDefault="00CE1AA5" w:rsidP="00F83978">
            <w:pPr>
              <w:keepNext/>
            </w:pPr>
          </w:p>
        </w:tc>
      </w:tr>
      <w:tr w:rsidR="00CE1AA5" w14:paraId="4239BEEC" w14:textId="77777777" w:rsidTr="00D877E2">
        <w:trPr>
          <w:cantSplit/>
          <w:trHeight w:val="507"/>
        </w:trPr>
        <w:tc>
          <w:tcPr>
            <w:tcW w:w="907" w:type="dxa"/>
          </w:tcPr>
          <w:p w14:paraId="37EC6370" w14:textId="77777777" w:rsidR="00CE1AA5" w:rsidRDefault="00CE1AA5" w:rsidP="001E00CE">
            <w:pPr>
              <w:keepNext/>
            </w:pPr>
          </w:p>
        </w:tc>
        <w:tc>
          <w:tcPr>
            <w:tcW w:w="4032" w:type="dxa"/>
          </w:tcPr>
          <w:p w14:paraId="02AFA12C" w14:textId="77777777" w:rsidR="00CE1AA5" w:rsidRDefault="00CE1AA5" w:rsidP="001E00CE">
            <w:pPr>
              <w:keepNext/>
            </w:pPr>
          </w:p>
        </w:tc>
        <w:tc>
          <w:tcPr>
            <w:tcW w:w="900" w:type="dxa"/>
          </w:tcPr>
          <w:p w14:paraId="26C6D487" w14:textId="77777777" w:rsidR="00CE1AA5" w:rsidRDefault="00CE1AA5" w:rsidP="001E00CE">
            <w:pPr>
              <w:keepNext/>
            </w:pPr>
          </w:p>
        </w:tc>
        <w:tc>
          <w:tcPr>
            <w:tcW w:w="4050" w:type="dxa"/>
          </w:tcPr>
          <w:p w14:paraId="34D3F3B9" w14:textId="77777777" w:rsidR="00CE1AA5" w:rsidRDefault="00CE1AA5" w:rsidP="001E00CE">
            <w:pPr>
              <w:keepNext/>
            </w:pPr>
            <w:r w:rsidRPr="00B63888">
              <w:rPr>
                <w:noProof/>
                <w:color w:val="000000" w:themeColor="text1"/>
              </w:rPr>
              <w:t>Gary M. Ward</w:t>
            </w:r>
          </w:p>
        </w:tc>
      </w:tr>
      <w:tr w:rsidR="00CE1AA5" w14:paraId="08990610" w14:textId="77777777" w:rsidTr="00D877E2">
        <w:trPr>
          <w:cantSplit/>
        </w:trPr>
        <w:tc>
          <w:tcPr>
            <w:tcW w:w="907" w:type="dxa"/>
            <w:hideMark/>
          </w:tcPr>
          <w:p w14:paraId="3C5E3ED9" w14:textId="77777777" w:rsidR="00CE1AA5" w:rsidRDefault="00CE1AA5" w:rsidP="001E00CE">
            <w:pPr>
              <w:keepNext/>
            </w:pPr>
            <w:r>
              <w:t>TITLE:</w:t>
            </w:r>
          </w:p>
        </w:tc>
        <w:tc>
          <w:tcPr>
            <w:tcW w:w="4032" w:type="dxa"/>
            <w:tcBorders>
              <w:top w:val="nil"/>
              <w:left w:val="nil"/>
              <w:bottom w:val="single" w:sz="6" w:space="0" w:color="auto"/>
              <w:right w:val="nil"/>
            </w:tcBorders>
          </w:tcPr>
          <w:p w14:paraId="069DDFE1" w14:textId="77777777" w:rsidR="00CE1AA5" w:rsidRDefault="00CE1AA5" w:rsidP="001E00CE">
            <w:pPr>
              <w:keepNext/>
            </w:pPr>
          </w:p>
        </w:tc>
        <w:tc>
          <w:tcPr>
            <w:tcW w:w="900" w:type="dxa"/>
            <w:hideMark/>
          </w:tcPr>
          <w:p w14:paraId="71A2746E" w14:textId="77777777" w:rsidR="00CE1AA5" w:rsidRDefault="00CE1AA5" w:rsidP="001E00CE">
            <w:pPr>
              <w:keepNext/>
            </w:pPr>
            <w:r>
              <w:t>TITLE:</w:t>
            </w:r>
          </w:p>
        </w:tc>
        <w:tc>
          <w:tcPr>
            <w:tcW w:w="4050" w:type="dxa"/>
            <w:tcBorders>
              <w:top w:val="nil"/>
              <w:left w:val="nil"/>
              <w:bottom w:val="single" w:sz="6" w:space="0" w:color="auto"/>
              <w:right w:val="nil"/>
            </w:tcBorders>
            <w:hideMark/>
          </w:tcPr>
          <w:p w14:paraId="00599AEC" w14:textId="77777777" w:rsidR="00CE1AA5" w:rsidRDefault="00CE1AA5" w:rsidP="001E00CE">
            <w:pPr>
              <w:keepNext/>
            </w:pPr>
            <w:r>
              <w:t xml:space="preserve">Contract </w:t>
            </w:r>
            <w:r w:rsidRPr="00E33A9C">
              <w:t>Analyst</w:t>
            </w:r>
          </w:p>
        </w:tc>
      </w:tr>
      <w:tr w:rsidR="00CE1AA5" w14:paraId="775FDC70" w14:textId="77777777" w:rsidTr="00D877E2">
        <w:trPr>
          <w:cantSplit/>
          <w:trHeight w:val="300"/>
        </w:trPr>
        <w:tc>
          <w:tcPr>
            <w:tcW w:w="907" w:type="dxa"/>
          </w:tcPr>
          <w:p w14:paraId="718A3B60" w14:textId="77777777" w:rsidR="00CE1AA5" w:rsidRDefault="00CE1AA5" w:rsidP="001E00CE">
            <w:pPr>
              <w:keepNext/>
            </w:pPr>
          </w:p>
        </w:tc>
        <w:tc>
          <w:tcPr>
            <w:tcW w:w="4032" w:type="dxa"/>
          </w:tcPr>
          <w:p w14:paraId="5F14B67E" w14:textId="77777777" w:rsidR="00CE1AA5" w:rsidRDefault="00CE1AA5" w:rsidP="001E00CE">
            <w:pPr>
              <w:keepNext/>
            </w:pPr>
          </w:p>
        </w:tc>
        <w:tc>
          <w:tcPr>
            <w:tcW w:w="900" w:type="dxa"/>
          </w:tcPr>
          <w:p w14:paraId="38A9EE98" w14:textId="77777777" w:rsidR="00CE1AA5" w:rsidRDefault="00CE1AA5" w:rsidP="001E00CE">
            <w:pPr>
              <w:keepNext/>
            </w:pPr>
          </w:p>
        </w:tc>
        <w:tc>
          <w:tcPr>
            <w:tcW w:w="4050" w:type="dxa"/>
          </w:tcPr>
          <w:p w14:paraId="6A33097E" w14:textId="77777777" w:rsidR="00CE1AA5" w:rsidRDefault="00CE1AA5" w:rsidP="001E00CE">
            <w:pPr>
              <w:keepNext/>
            </w:pPr>
            <w:r>
              <w:t>LLNL Supply Chain Management Dept.</w:t>
            </w:r>
          </w:p>
          <w:p w14:paraId="43002387" w14:textId="77777777" w:rsidR="00CE1AA5" w:rsidRDefault="00CE1AA5" w:rsidP="001E00CE">
            <w:pPr>
              <w:keepNext/>
            </w:pPr>
          </w:p>
        </w:tc>
      </w:tr>
      <w:tr w:rsidR="00CE1AA5" w14:paraId="33F5BFD5" w14:textId="77777777" w:rsidTr="00D877E2">
        <w:trPr>
          <w:cantSplit/>
        </w:trPr>
        <w:tc>
          <w:tcPr>
            <w:tcW w:w="907" w:type="dxa"/>
            <w:hideMark/>
          </w:tcPr>
          <w:p w14:paraId="3398B232" w14:textId="77777777" w:rsidR="00CE1AA5" w:rsidRDefault="00CE1AA5" w:rsidP="001E00CE">
            <w:r>
              <w:t>DATE:</w:t>
            </w:r>
          </w:p>
        </w:tc>
        <w:tc>
          <w:tcPr>
            <w:tcW w:w="4032" w:type="dxa"/>
            <w:tcBorders>
              <w:top w:val="nil"/>
              <w:left w:val="nil"/>
              <w:bottom w:val="single" w:sz="6" w:space="0" w:color="auto"/>
              <w:right w:val="nil"/>
            </w:tcBorders>
          </w:tcPr>
          <w:p w14:paraId="03F8E53C" w14:textId="77777777" w:rsidR="00CE1AA5" w:rsidRDefault="00CE1AA5" w:rsidP="001E00CE"/>
        </w:tc>
        <w:tc>
          <w:tcPr>
            <w:tcW w:w="900" w:type="dxa"/>
            <w:hideMark/>
          </w:tcPr>
          <w:p w14:paraId="7E7EE3B1" w14:textId="77777777" w:rsidR="00CE1AA5" w:rsidRDefault="00CE1AA5" w:rsidP="001E00CE">
            <w:r>
              <w:t>DATE:</w:t>
            </w:r>
          </w:p>
        </w:tc>
        <w:tc>
          <w:tcPr>
            <w:tcW w:w="4050" w:type="dxa"/>
            <w:tcBorders>
              <w:top w:val="nil"/>
              <w:left w:val="nil"/>
              <w:bottom w:val="single" w:sz="6" w:space="0" w:color="auto"/>
              <w:right w:val="nil"/>
            </w:tcBorders>
          </w:tcPr>
          <w:p w14:paraId="64F206A4" w14:textId="77777777" w:rsidR="00CE1AA5" w:rsidRDefault="00CE1AA5" w:rsidP="001E00CE"/>
        </w:tc>
      </w:tr>
    </w:tbl>
    <w:p w14:paraId="75CD2AB0" w14:textId="77777777" w:rsidR="00CE1AA5" w:rsidRDefault="00CE1AA5" w:rsidP="008878AD">
      <w:pPr>
        <w:sectPr w:rsidR="00CE1AA5" w:rsidSect="005D49BA">
          <w:headerReference w:type="default" r:id="rId11"/>
          <w:footerReference w:type="default" r:id="rId12"/>
          <w:headerReference w:type="first" r:id="rId13"/>
          <w:footerReference w:type="first" r:id="rId14"/>
          <w:pgSz w:w="12240" w:h="15840"/>
          <w:pgMar w:top="1080" w:right="1260" w:bottom="1080" w:left="1080" w:header="720" w:footer="720" w:gutter="0"/>
          <w:pgNumType w:start="1"/>
          <w:cols w:space="720"/>
          <w:docGrid w:linePitch="360"/>
        </w:sectPr>
      </w:pPr>
    </w:p>
    <w:p w14:paraId="5AEB99BF" w14:textId="77777777" w:rsidR="00CE1AA5" w:rsidRPr="001542C7" w:rsidRDefault="00CE1AA5" w:rsidP="001542C7">
      <w:pPr>
        <w:jc w:val="center"/>
        <w:rPr>
          <w:b/>
          <w:sz w:val="28"/>
          <w:szCs w:val="28"/>
        </w:rPr>
      </w:pPr>
      <w:r w:rsidRPr="001542C7">
        <w:rPr>
          <w:b/>
          <w:sz w:val="28"/>
          <w:szCs w:val="28"/>
        </w:rPr>
        <w:lastRenderedPageBreak/>
        <w:t>SCHEDULE OF ARTICLES</w:t>
      </w:r>
    </w:p>
    <w:p w14:paraId="1B761F50" w14:textId="77777777" w:rsidR="00CE1AA5" w:rsidRPr="001542C7" w:rsidRDefault="00CE1AA5" w:rsidP="001542C7">
      <w:pPr>
        <w:jc w:val="center"/>
        <w:rPr>
          <w:b/>
          <w:sz w:val="28"/>
          <w:szCs w:val="28"/>
        </w:rPr>
      </w:pPr>
      <w:r w:rsidRPr="001542C7">
        <w:rPr>
          <w:b/>
          <w:sz w:val="28"/>
          <w:szCs w:val="28"/>
        </w:rPr>
        <w:t>FOR</w:t>
      </w:r>
    </w:p>
    <w:p w14:paraId="1D9BFB42" w14:textId="77777777" w:rsidR="00CE1AA5" w:rsidRPr="001542C7" w:rsidRDefault="00CE1AA5" w:rsidP="001542C7">
      <w:pPr>
        <w:jc w:val="center"/>
        <w:rPr>
          <w:b/>
          <w:szCs w:val="24"/>
        </w:rPr>
      </w:pPr>
      <w:r w:rsidRPr="001542C7">
        <w:rPr>
          <w:b/>
          <w:sz w:val="28"/>
          <w:szCs w:val="28"/>
        </w:rPr>
        <w:t xml:space="preserve">SUBCONTRACT </w:t>
      </w:r>
      <w:r w:rsidRPr="00B63888">
        <w:rPr>
          <w:b/>
          <w:noProof/>
          <w:sz w:val="28"/>
          <w:szCs w:val="28"/>
        </w:rPr>
        <w:t>B644990</w:t>
      </w:r>
    </w:p>
    <w:p w14:paraId="7C5E40F6" w14:textId="6AB04937" w:rsidR="00CE1AA5" w:rsidRDefault="00CE1AA5" w:rsidP="001542C7">
      <w:pPr>
        <w:jc w:val="both"/>
        <w:rPr>
          <w:szCs w:val="24"/>
        </w:rPr>
      </w:pPr>
    </w:p>
    <w:p w14:paraId="722F4ADF" w14:textId="5BE72B87" w:rsidR="0015626C" w:rsidRPr="00F030C5" w:rsidRDefault="0015626C" w:rsidP="0015626C">
      <w:pPr>
        <w:jc w:val="both"/>
        <w:rPr>
          <w:rFonts w:asciiTheme="minorHAnsi" w:hAnsiTheme="minorHAnsi" w:cstheme="minorHAnsi"/>
          <w:bCs/>
          <w:noProof/>
          <w:sz w:val="20"/>
        </w:rPr>
      </w:pPr>
      <w:r w:rsidRPr="006F4076">
        <w:rPr>
          <w:rFonts w:asciiTheme="minorHAnsi" w:hAnsiTheme="minorHAnsi" w:cstheme="minorHAnsi"/>
          <w:b/>
          <w:noProof/>
          <w:sz w:val="20"/>
          <w:highlight w:val="cyan"/>
        </w:rPr>
        <w:t>NOTE:</w:t>
      </w:r>
      <w:r w:rsidRPr="006F4076">
        <w:rPr>
          <w:rFonts w:asciiTheme="minorHAnsi" w:hAnsiTheme="minorHAnsi" w:cstheme="minorHAnsi"/>
          <w:bCs/>
          <w:noProof/>
          <w:sz w:val="20"/>
          <w:highlight w:val="cyan"/>
        </w:rPr>
        <w:t xml:space="preserve"> </w:t>
      </w:r>
      <w:r w:rsidRPr="00F030C5">
        <w:rPr>
          <w:rFonts w:asciiTheme="minorHAnsi" w:hAnsiTheme="minorHAnsi" w:cstheme="minorHAnsi"/>
          <w:bCs/>
          <w:noProof/>
          <w:sz w:val="20"/>
          <w:highlight w:val="cyan"/>
        </w:rPr>
        <w:t xml:space="preserve">Prior to initial subcontract award, LLNS and the successful offeror will negotiate </w:t>
      </w:r>
      <w:r w:rsidR="00057CCE">
        <w:rPr>
          <w:rFonts w:asciiTheme="minorHAnsi" w:hAnsiTheme="minorHAnsi" w:cstheme="minorHAnsi"/>
          <w:bCs/>
          <w:noProof/>
          <w:sz w:val="20"/>
          <w:highlight w:val="cyan"/>
        </w:rPr>
        <w:t>a final Statement of Work (SOW)</w:t>
      </w:r>
      <w:r w:rsidRPr="00F030C5">
        <w:rPr>
          <w:rFonts w:asciiTheme="minorHAnsi" w:hAnsiTheme="minorHAnsi" w:cstheme="minorHAnsi"/>
          <w:bCs/>
          <w:noProof/>
          <w:sz w:val="20"/>
          <w:highlight w:val="cyan"/>
        </w:rPr>
        <w:t xml:space="preserve"> based on the successful offeror’s proposal and </w:t>
      </w:r>
      <w:r w:rsidR="00057CCE">
        <w:rPr>
          <w:rFonts w:asciiTheme="minorHAnsi" w:hAnsiTheme="minorHAnsi" w:cstheme="minorHAnsi"/>
          <w:bCs/>
          <w:noProof/>
          <w:sz w:val="20"/>
          <w:highlight w:val="cyan"/>
        </w:rPr>
        <w:t>LLNS’</w:t>
      </w:r>
      <w:r w:rsidRPr="00F030C5">
        <w:rPr>
          <w:rFonts w:asciiTheme="minorHAnsi" w:hAnsiTheme="minorHAnsi" w:cstheme="minorHAnsi"/>
          <w:bCs/>
          <w:noProof/>
          <w:sz w:val="20"/>
          <w:highlight w:val="cyan"/>
        </w:rPr>
        <w:t xml:space="preserve"> requirements / interests.  The resulting final negotiated SOW</w:t>
      </w:r>
      <w:r w:rsidR="00057CCE">
        <w:rPr>
          <w:rFonts w:asciiTheme="minorHAnsi" w:hAnsiTheme="minorHAnsi" w:cstheme="minorHAnsi"/>
          <w:bCs/>
          <w:noProof/>
          <w:sz w:val="20"/>
          <w:highlight w:val="cyan"/>
        </w:rPr>
        <w:t xml:space="preserve"> </w:t>
      </w:r>
      <w:r w:rsidRPr="00F030C5">
        <w:rPr>
          <w:rFonts w:asciiTheme="minorHAnsi" w:hAnsiTheme="minorHAnsi" w:cstheme="minorHAnsi"/>
          <w:bCs/>
          <w:noProof/>
          <w:sz w:val="20"/>
          <w:highlight w:val="cyan"/>
        </w:rPr>
        <w:t>will be incorporated by reference in final subcontract Article 1.</w:t>
      </w:r>
    </w:p>
    <w:p w14:paraId="6D370107" w14:textId="77777777" w:rsidR="0015626C" w:rsidRPr="001542C7" w:rsidRDefault="0015626C" w:rsidP="001542C7">
      <w:pPr>
        <w:jc w:val="both"/>
        <w:rPr>
          <w:szCs w:val="24"/>
        </w:rPr>
      </w:pPr>
    </w:p>
    <w:p w14:paraId="46EF122E" w14:textId="77777777" w:rsidR="00CE1AA5" w:rsidRPr="001542C7" w:rsidRDefault="00CE1AA5" w:rsidP="00683387">
      <w:pPr>
        <w:pStyle w:val="ArticleHeader"/>
      </w:pPr>
      <w:r w:rsidRPr="001542C7">
        <w:t>INCORPORATED DOCUMENTS</w:t>
      </w:r>
    </w:p>
    <w:p w14:paraId="5C994F71" w14:textId="77777777" w:rsidR="00CE1AA5" w:rsidRPr="001542C7" w:rsidRDefault="00CE1AA5" w:rsidP="001542C7">
      <w:pPr>
        <w:keepNext/>
        <w:jc w:val="both"/>
        <w:rPr>
          <w:szCs w:val="24"/>
        </w:rPr>
      </w:pPr>
    </w:p>
    <w:p w14:paraId="00898F00" w14:textId="77777777" w:rsidR="00CE1AA5" w:rsidRPr="001542C7" w:rsidRDefault="00CE1AA5" w:rsidP="001542C7">
      <w:pPr>
        <w:pStyle w:val="ArticleParagraph"/>
      </w:pPr>
      <w:r w:rsidRPr="001542C7">
        <w:t xml:space="preserve">The following documents are hereby incorporated as a part of this Schedule of Articles of the Subcontract and are </w:t>
      </w:r>
      <w:proofErr w:type="gramStart"/>
      <w:r w:rsidRPr="001542C7">
        <w:t>referenced, or</w:t>
      </w:r>
      <w:proofErr w:type="gramEnd"/>
      <w:r w:rsidRPr="001542C7">
        <w:t xml:space="preserve"> attached hereto.</w:t>
      </w:r>
    </w:p>
    <w:p w14:paraId="383FAA86" w14:textId="77777777" w:rsidR="00CE1AA5" w:rsidRPr="001542C7" w:rsidRDefault="00CE1AA5" w:rsidP="001542C7">
      <w:pPr>
        <w:keepNext/>
        <w:jc w:val="both"/>
        <w:rPr>
          <w:szCs w:val="24"/>
        </w:rPr>
      </w:pPr>
    </w:p>
    <w:p w14:paraId="4BD98325" w14:textId="77777777" w:rsidR="00CE1AA5" w:rsidRPr="001542C7" w:rsidRDefault="00CE1AA5" w:rsidP="001542C7">
      <w:pPr>
        <w:keepNext/>
        <w:spacing w:after="120"/>
        <w:jc w:val="both"/>
        <w:rPr>
          <w:b/>
          <w:szCs w:val="24"/>
        </w:rPr>
      </w:pPr>
      <w:r w:rsidRPr="001542C7">
        <w:rPr>
          <w:b/>
          <w:szCs w:val="24"/>
        </w:rPr>
        <w:t>Documents</w:t>
      </w:r>
    </w:p>
    <w:p w14:paraId="7289057E" w14:textId="5C0750DD" w:rsidR="00CE1AA5" w:rsidRPr="00945080" w:rsidRDefault="00CE1AA5" w:rsidP="005F26CB">
      <w:pPr>
        <w:pStyle w:val="IncorporatedDocuments"/>
        <w:rPr>
          <w:noProof/>
          <w:color w:val="000000" w:themeColor="text1"/>
        </w:rPr>
      </w:pPr>
      <w:r w:rsidRPr="00945080">
        <w:rPr>
          <w:noProof/>
          <w:color w:val="000000" w:themeColor="text1"/>
        </w:rPr>
        <w:t xml:space="preserve">GENERAL PROVISIONS FOR FIXED PRICE SUPPLIES &amp; SERVICES (GPs #600C; </w:t>
      </w:r>
      <w:r w:rsidRPr="00A82BE0">
        <w:rPr>
          <w:noProof/>
        </w:rPr>
        <w:t>01/10/20</w:t>
      </w:r>
      <w:r w:rsidRPr="00945080">
        <w:rPr>
          <w:noProof/>
          <w:color w:val="000000" w:themeColor="text1"/>
        </w:rPr>
        <w:t>) *</w:t>
      </w:r>
    </w:p>
    <w:p w14:paraId="0DA4B7ED" w14:textId="3DA08170" w:rsidR="00CE1AA5" w:rsidRDefault="00CE1AA5" w:rsidP="005F26CB">
      <w:pPr>
        <w:pStyle w:val="IncorporatedDocuments"/>
      </w:pPr>
      <w:r w:rsidRPr="001542C7">
        <w:t>STATEMENT OF WORK</w:t>
      </w:r>
      <w:r w:rsidR="00FD7552">
        <w:t xml:space="preserve"> </w:t>
      </w:r>
      <w:r w:rsidRPr="001542C7">
        <w:t>(</w:t>
      </w:r>
      <w:r w:rsidR="00025913">
        <w:rPr>
          <w:color w:val="FF0000"/>
        </w:rPr>
        <w:t>TBD</w:t>
      </w:r>
      <w:r w:rsidRPr="001542C7">
        <w:t>)</w:t>
      </w:r>
    </w:p>
    <w:p w14:paraId="20D6A7AD" w14:textId="53FD1E2F" w:rsidR="00E9175C" w:rsidRPr="00945080" w:rsidRDefault="00E9175C" w:rsidP="00E9175C">
      <w:pPr>
        <w:pStyle w:val="IncorporatedDocuments"/>
        <w:rPr>
          <w:smallCaps/>
          <w:noProof/>
          <w:color w:val="000000" w:themeColor="text1"/>
        </w:rPr>
      </w:pPr>
      <w:r w:rsidRPr="00945080">
        <w:rPr>
          <w:smallCaps/>
          <w:noProof/>
          <w:color w:val="000000" w:themeColor="text1"/>
        </w:rPr>
        <w:t xml:space="preserve">access to llnl computer resources provisions (Access to llnl computers; </w:t>
      </w:r>
      <w:r w:rsidRPr="008A0440">
        <w:rPr>
          <w:noProof/>
        </w:rPr>
        <w:t>06/25/21</w:t>
      </w:r>
      <w:r w:rsidRPr="00D0598A">
        <w:rPr>
          <w:smallCaps/>
          <w:noProof/>
        </w:rPr>
        <w:t>)</w:t>
      </w:r>
      <w:r w:rsidRPr="00945080">
        <w:rPr>
          <w:smallCaps/>
          <w:noProof/>
          <w:color w:val="000000" w:themeColor="text1"/>
        </w:rPr>
        <w:t xml:space="preserve"> *</w:t>
      </w:r>
    </w:p>
    <w:p w14:paraId="65EB4DCB" w14:textId="307BDBA0" w:rsidR="00E9175C" w:rsidRPr="00945080" w:rsidRDefault="00E9175C" w:rsidP="00E9175C">
      <w:pPr>
        <w:pStyle w:val="IncorporatedDocuments"/>
        <w:rPr>
          <w:noProof/>
          <w:color w:val="000000" w:themeColor="text1"/>
        </w:rPr>
      </w:pPr>
      <w:r w:rsidRPr="00945080">
        <w:rPr>
          <w:noProof/>
          <w:color w:val="000000" w:themeColor="text1"/>
        </w:rPr>
        <w:t xml:space="preserve">SECURITY AND SITE ACCESS PROVISIONS (S&amp;SAP; </w:t>
      </w:r>
      <w:r w:rsidRPr="008A0440">
        <w:rPr>
          <w:noProof/>
        </w:rPr>
        <w:t>06/25/21</w:t>
      </w:r>
      <w:r w:rsidRPr="00A82BE0">
        <w:rPr>
          <w:noProof/>
        </w:rPr>
        <w:t>)</w:t>
      </w:r>
      <w:r w:rsidRPr="00945080">
        <w:rPr>
          <w:noProof/>
          <w:color w:val="000000" w:themeColor="text1"/>
        </w:rPr>
        <w:t xml:space="preserve"> *</w:t>
      </w:r>
    </w:p>
    <w:p w14:paraId="51927004" w14:textId="3756F5A3" w:rsidR="00E9175C" w:rsidRPr="00E9175C" w:rsidRDefault="00E9175C" w:rsidP="00E9175C">
      <w:pPr>
        <w:pStyle w:val="IncorporatedDocuments"/>
        <w:rPr>
          <w:noProof/>
          <w:color w:val="000000" w:themeColor="text1"/>
        </w:rPr>
      </w:pPr>
      <w:r w:rsidRPr="00945080">
        <w:rPr>
          <w:noProof/>
          <w:color w:val="000000" w:themeColor="text1"/>
        </w:rPr>
        <w:t>INJURY AND ILLNESS REPORTING PROVISIONS (INJURY &amp; ILLNESS REPORTING;</w:t>
      </w:r>
      <w:r w:rsidRPr="005D023A">
        <w:rPr>
          <w:noProof/>
          <w:color w:val="0000FF"/>
        </w:rPr>
        <w:t xml:space="preserve"> </w:t>
      </w:r>
      <w:r w:rsidRPr="005B7CCE">
        <w:rPr>
          <w:noProof/>
        </w:rPr>
        <w:t>05/31/19</w:t>
      </w:r>
      <w:r w:rsidRPr="00945080">
        <w:rPr>
          <w:noProof/>
          <w:color w:val="000000" w:themeColor="text1"/>
        </w:rPr>
        <w:t>) *</w:t>
      </w:r>
    </w:p>
    <w:p w14:paraId="0CD0F05D" w14:textId="77777777" w:rsidR="00CE1AA5" w:rsidRPr="001542C7" w:rsidRDefault="00CE1AA5" w:rsidP="00BD64BC">
      <w:pPr>
        <w:pStyle w:val="IncorporatedDocuments"/>
        <w:ind w:left="0" w:firstLine="0"/>
      </w:pPr>
    </w:p>
    <w:p w14:paraId="46A1CDF1" w14:textId="2F272725" w:rsidR="00CE1AA5" w:rsidRDefault="00CE1AA5" w:rsidP="00FE66CC">
      <w:pPr>
        <w:pStyle w:val="ArticleParagraph"/>
      </w:pPr>
      <w:r w:rsidRPr="001542C7">
        <w:t>* The documen</w:t>
      </w:r>
      <w:r w:rsidR="00FD7552">
        <w:t>t</w:t>
      </w:r>
      <w:r w:rsidRPr="001542C7">
        <w:t xml:space="preserve"> marked with an asterisk, as well as links to Federal and State Tax Forms websites, are available on-line at the following website:  </w:t>
      </w:r>
      <w:hyperlink r:id="rId15" w:history="1">
        <w:r w:rsidRPr="00972DFE">
          <w:rPr>
            <w:color w:val="000000" w:themeColor="text1"/>
            <w:u w:val="single"/>
          </w:rPr>
          <w:t>https://supplychain.llnl.gov/</w:t>
        </w:r>
      </w:hyperlink>
      <w:r w:rsidRPr="001542C7">
        <w:t xml:space="preserve"> (under Supplier Information, select either General Provisions &amp; Forms, or Special Provisions).</w:t>
      </w:r>
    </w:p>
    <w:p w14:paraId="48666C32" w14:textId="77777777" w:rsidR="00CE1AA5" w:rsidRDefault="00CE1AA5" w:rsidP="00FE66CC">
      <w:pPr>
        <w:pStyle w:val="ArticleParagraph"/>
      </w:pPr>
    </w:p>
    <w:p w14:paraId="1C51853F" w14:textId="77777777" w:rsidR="00CE1AA5" w:rsidRPr="00A82BE0" w:rsidRDefault="00CE1AA5" w:rsidP="00DA1223">
      <w:pPr>
        <w:jc w:val="both"/>
      </w:pPr>
      <w:r w:rsidRPr="00A82BE0">
        <w:t>The parties shall resolve any inconsistencies in the documents comprising the Subcontract by giving precedence in the following order: (a) the Subcontract document; (b) the General Provisions; (c) any incorporated documents and attachments related to safety and security; (d) any referenced specification or statement of work; and (e) other referenced documents, exhibits, and attachments.</w:t>
      </w:r>
    </w:p>
    <w:p w14:paraId="7E717582" w14:textId="77777777" w:rsidR="00CE1AA5" w:rsidRPr="00A82BE0" w:rsidRDefault="00CE1AA5" w:rsidP="00FE66CC">
      <w:pPr>
        <w:pStyle w:val="ArticleParagraph"/>
      </w:pPr>
    </w:p>
    <w:p w14:paraId="61B60232" w14:textId="77777777" w:rsidR="00CE1AA5" w:rsidRPr="00972DFE" w:rsidRDefault="00CE1AA5" w:rsidP="00B54AC4">
      <w:pPr>
        <w:tabs>
          <w:tab w:val="left" w:pos="270"/>
        </w:tabs>
        <w:rPr>
          <w:color w:val="000000" w:themeColor="text1"/>
        </w:rPr>
      </w:pPr>
      <w:r w:rsidRPr="00972DFE">
        <w:rPr>
          <w:color w:val="000000" w:themeColor="text1"/>
        </w:rPr>
        <w:t xml:space="preserve">In the event any attachments, specifications, </w:t>
      </w:r>
      <w:proofErr w:type="gramStart"/>
      <w:r w:rsidRPr="00972DFE">
        <w:rPr>
          <w:color w:val="000000" w:themeColor="text1"/>
        </w:rPr>
        <w:t>drawings</w:t>
      </w:r>
      <w:proofErr w:type="gramEnd"/>
      <w:r w:rsidRPr="00972DFE">
        <w:rPr>
          <w:color w:val="000000" w:themeColor="text1"/>
        </w:rPr>
        <w:t xml:space="preserve"> or other documents referenced or incorporated in this Subcontract reference </w:t>
      </w:r>
      <w:r w:rsidRPr="00972DFE">
        <w:rPr>
          <w:i/>
          <w:color w:val="000000" w:themeColor="text1"/>
        </w:rPr>
        <w:t>Contract Administrator</w:t>
      </w:r>
      <w:r w:rsidRPr="00972DFE">
        <w:rPr>
          <w:color w:val="000000" w:themeColor="text1"/>
        </w:rPr>
        <w:t xml:space="preserve">, all such references shall mean </w:t>
      </w:r>
      <w:r w:rsidRPr="00972DFE">
        <w:rPr>
          <w:i/>
          <w:color w:val="000000" w:themeColor="text1"/>
        </w:rPr>
        <w:t xml:space="preserve">Contract </w:t>
      </w:r>
      <w:r w:rsidRPr="00E33A9C">
        <w:rPr>
          <w:i/>
        </w:rPr>
        <w:t>Analyst</w:t>
      </w:r>
      <w:r w:rsidRPr="00972DFE">
        <w:rPr>
          <w:color w:val="000000" w:themeColor="text1"/>
        </w:rPr>
        <w:t>.</w:t>
      </w:r>
    </w:p>
    <w:p w14:paraId="1E7F2FAD" w14:textId="77777777" w:rsidR="00CE1AA5" w:rsidRDefault="00CE1AA5" w:rsidP="001542C7"/>
    <w:p w14:paraId="1054CED3" w14:textId="77777777" w:rsidR="00CE1AA5" w:rsidRDefault="00CE1AA5" w:rsidP="00683387">
      <w:pPr>
        <w:pStyle w:val="ArticleHeader"/>
      </w:pPr>
      <w:r>
        <w:t>SCOPE OF WORK</w:t>
      </w:r>
    </w:p>
    <w:p w14:paraId="208F395D" w14:textId="77777777" w:rsidR="00CE1AA5" w:rsidRDefault="00CE1AA5" w:rsidP="004F2C23">
      <w:pPr>
        <w:keepNext/>
        <w:rPr>
          <w:noProof/>
        </w:rPr>
      </w:pPr>
    </w:p>
    <w:p w14:paraId="31986DEB" w14:textId="6A11C044" w:rsidR="00CE1AA5" w:rsidRPr="00D877E2" w:rsidRDefault="00CE1AA5" w:rsidP="002C4631">
      <w:pPr>
        <w:pStyle w:val="ArticleParagraph-A"/>
        <w:rPr>
          <w:noProof/>
        </w:rPr>
      </w:pPr>
      <w:r w:rsidRPr="00BE40D1">
        <w:rPr>
          <w:noProof/>
          <w:color w:val="000000" w:themeColor="text1"/>
        </w:rPr>
        <w:t>A.</w:t>
      </w:r>
      <w:r w:rsidRPr="00D877E2">
        <w:rPr>
          <w:noProof/>
        </w:rPr>
        <w:tab/>
        <w:t xml:space="preserve">The Subcontractor shall conduct certain work generally described as </w:t>
      </w:r>
      <w:r w:rsidR="00E4327C" w:rsidRPr="00FC7620">
        <w:rPr>
          <w:rFonts w:cs="Times New Roman"/>
        </w:rPr>
        <w:t>NG-HPCN R&amp;D</w:t>
      </w:r>
      <w:r w:rsidRPr="00D877E2">
        <w:rPr>
          <w:noProof/>
        </w:rPr>
        <w:t>.  The work is more specifically described in the incorporated STATEMENT OF WORK</w:t>
      </w:r>
      <w:r w:rsidR="00E4327C">
        <w:rPr>
          <w:noProof/>
        </w:rPr>
        <w:t xml:space="preserve">. </w:t>
      </w:r>
      <w:r w:rsidRPr="00D877E2">
        <w:rPr>
          <w:noProof/>
        </w:rPr>
        <w:t>Acceptance of the work under this Subcontract shall be based on the Subcontractor's performance and completion of the work in consonance with high professional standards and compliance with the delivery and reporting requirements specified herein.</w:t>
      </w:r>
    </w:p>
    <w:p w14:paraId="3FBD8EA3" w14:textId="77777777" w:rsidR="00CE1AA5" w:rsidRPr="00D877E2" w:rsidRDefault="00CE1AA5" w:rsidP="004F2C23">
      <w:pPr>
        <w:pStyle w:val="ArticleParagraph-A"/>
        <w:keepNext/>
      </w:pPr>
    </w:p>
    <w:p w14:paraId="6615DAE1" w14:textId="77777777" w:rsidR="00CE1AA5" w:rsidRPr="00D877E2" w:rsidRDefault="00CE1AA5" w:rsidP="00D877E2">
      <w:pPr>
        <w:pStyle w:val="ArticleParagraph-A"/>
      </w:pPr>
      <w:r w:rsidRPr="00D877E2">
        <w:t>B.</w:t>
      </w:r>
      <w:r w:rsidRPr="00D877E2">
        <w:tab/>
        <w:t xml:space="preserve">The Subcontractor shall furnish all personnel, supervision, materials, supplies, equipment, tools, facilities, transportation, testing, and other incidental items and services necessary for performance of the work, except for Government Property specified herein to be furnished by LLNS.  The Subcontractor shall deliver the materials, products, supplies, </w:t>
      </w:r>
      <w:proofErr w:type="gramStart"/>
      <w:r w:rsidRPr="00D877E2">
        <w:t>reports</w:t>
      </w:r>
      <w:proofErr w:type="gramEnd"/>
      <w:r w:rsidRPr="00D877E2">
        <w:t xml:space="preserve"> and residuals, as specified.</w:t>
      </w:r>
    </w:p>
    <w:p w14:paraId="6F7AD781" w14:textId="77777777" w:rsidR="00CE1AA5" w:rsidRPr="00D877E2" w:rsidRDefault="00CE1AA5" w:rsidP="00D877E2">
      <w:pPr>
        <w:pStyle w:val="ArticleParagraph-A"/>
      </w:pPr>
    </w:p>
    <w:p w14:paraId="56AA7409" w14:textId="4868B036" w:rsidR="00CE1AA5" w:rsidRPr="00D877E2" w:rsidRDefault="00CE1AA5" w:rsidP="00D877E2">
      <w:pPr>
        <w:pStyle w:val="ArticleParagraph-A"/>
      </w:pPr>
      <w:r w:rsidRPr="00D877E2">
        <w:t>C.</w:t>
      </w:r>
      <w:r w:rsidRPr="00D877E2">
        <w:tab/>
        <w:t xml:space="preserve">The work shall be performed by the Subcontractor at the Subcontractor's facility located at </w:t>
      </w:r>
      <w:r w:rsidR="00004DE6" w:rsidRPr="00004DE6">
        <w:t>TBD</w:t>
      </w:r>
      <w:r w:rsidRPr="00D877E2">
        <w:t xml:space="preserve">, and at other locations approved by the LLNS Contract </w:t>
      </w:r>
      <w:r w:rsidRPr="00E33A9C">
        <w:t>Analyst</w:t>
      </w:r>
      <w:r w:rsidRPr="00972DFE">
        <w:rPr>
          <w:color w:val="000000" w:themeColor="text1"/>
        </w:rPr>
        <w:t>.</w:t>
      </w:r>
    </w:p>
    <w:p w14:paraId="643266FE" w14:textId="77777777" w:rsidR="00CE1AA5" w:rsidRDefault="00CE1AA5" w:rsidP="00796185">
      <w:pPr>
        <w:pStyle w:val="ArticleParagraph-A"/>
        <w:rPr>
          <w:noProof/>
        </w:rPr>
      </w:pPr>
    </w:p>
    <w:p w14:paraId="3289F411" w14:textId="10775F74" w:rsidR="00C833EF" w:rsidRPr="00A3356D" w:rsidRDefault="00CE1AA5" w:rsidP="00C833EF">
      <w:pPr>
        <w:pStyle w:val="ArticleParagraph-A"/>
        <w:rPr>
          <w:noProof/>
          <w:color w:val="000000" w:themeColor="text1"/>
        </w:rPr>
      </w:pPr>
      <w:r w:rsidRPr="00796185">
        <w:rPr>
          <w:noProof/>
          <w:color w:val="000000" w:themeColor="text1"/>
        </w:rPr>
        <w:lastRenderedPageBreak/>
        <w:t>D.</w:t>
      </w:r>
      <w:r w:rsidRPr="00D877E2">
        <w:rPr>
          <w:noProof/>
        </w:rPr>
        <w:tab/>
      </w:r>
      <w:r w:rsidR="00C833EF" w:rsidRPr="00D877E2">
        <w:rPr>
          <w:noProof/>
        </w:rPr>
        <w:t xml:space="preserve">LLNS may, at its option, by written unilateral modification to this Subcontract, require </w:t>
      </w:r>
      <w:r w:rsidR="00C833EF" w:rsidRPr="00056EEE">
        <w:rPr>
          <w:noProof/>
          <w:color w:val="000000" w:themeColor="text1"/>
        </w:rPr>
        <w:t xml:space="preserve">additional </w:t>
      </w:r>
      <w:r w:rsidR="00C833EF" w:rsidRPr="00FC7620">
        <w:rPr>
          <w:rFonts w:cs="Times New Roman"/>
        </w:rPr>
        <w:t>NG-HPCN R&amp;D</w:t>
      </w:r>
      <w:r w:rsidR="00C833EF" w:rsidRPr="00056EEE">
        <w:rPr>
          <w:noProof/>
          <w:color w:val="000000" w:themeColor="text1"/>
        </w:rPr>
        <w:t xml:space="preserve"> as specified in </w:t>
      </w:r>
      <w:r w:rsidR="00C833EF" w:rsidRPr="00D86A43">
        <w:t>ARTICLE 5 –</w:t>
      </w:r>
      <w:r w:rsidR="00C833EF" w:rsidRPr="00D251C6">
        <w:t xml:space="preserve"> FIXED PRICE OPTIONS</w:t>
      </w:r>
      <w:r w:rsidR="00C833EF" w:rsidRPr="00056EEE">
        <w:rPr>
          <w:noProof/>
          <w:color w:val="000000" w:themeColor="text1"/>
        </w:rPr>
        <w:t>.</w:t>
      </w:r>
    </w:p>
    <w:p w14:paraId="07DE4EAF" w14:textId="3E1A064E" w:rsidR="00CE1AA5" w:rsidRPr="00D364C7" w:rsidRDefault="00CE1AA5" w:rsidP="00D364C7">
      <w:pPr>
        <w:pStyle w:val="ArticleParagraph-A"/>
        <w:rPr>
          <w:noProof/>
          <w:color w:val="000000" w:themeColor="text1"/>
        </w:rPr>
      </w:pPr>
    </w:p>
    <w:p w14:paraId="767D3A35" w14:textId="77777777" w:rsidR="00CE1AA5" w:rsidRDefault="00CE1AA5" w:rsidP="00683387">
      <w:pPr>
        <w:pStyle w:val="ArticleHeader"/>
      </w:pPr>
      <w:r>
        <w:t>PERIOD OF PERFORMANCE</w:t>
      </w:r>
    </w:p>
    <w:p w14:paraId="3D2EEAA8" w14:textId="77777777" w:rsidR="00CE1AA5" w:rsidRDefault="00CE1AA5" w:rsidP="00450D91">
      <w:pPr>
        <w:keepNext/>
        <w:rPr>
          <w:noProof/>
        </w:rPr>
      </w:pPr>
    </w:p>
    <w:p w14:paraId="4BECFBFB" w14:textId="13DF46A4" w:rsidR="00CE1AA5" w:rsidRDefault="00C833EF" w:rsidP="00450D91">
      <w:pPr>
        <w:pStyle w:val="ArticleParagraph"/>
        <w:rPr>
          <w:noProof/>
        </w:rPr>
      </w:pPr>
      <w:r>
        <w:rPr>
          <w:noProof/>
        </w:rPr>
        <w:t>The period of performance for this Subcontract shall commence on signature execution of this Subcontract by LLNS, and shall be completed on or before the latest milestone due date of this Subcontract.</w:t>
      </w:r>
    </w:p>
    <w:p w14:paraId="5D8BBAED" w14:textId="02ACFF6B" w:rsidR="00CE1AA5" w:rsidRDefault="00CE1AA5" w:rsidP="00450D91"/>
    <w:p w14:paraId="3EC4AA68" w14:textId="1813BB8D" w:rsidR="008E663B" w:rsidRPr="008E663B" w:rsidRDefault="00666EE7" w:rsidP="00666EE7">
      <w:pPr>
        <w:jc w:val="both"/>
        <w:rPr>
          <w:rFonts w:asciiTheme="minorHAnsi" w:hAnsiTheme="minorHAnsi" w:cstheme="minorHAnsi"/>
          <w:bCs/>
          <w:noProof/>
          <w:sz w:val="20"/>
        </w:rPr>
      </w:pPr>
      <w:r w:rsidRPr="008E663B">
        <w:rPr>
          <w:rFonts w:asciiTheme="minorHAnsi" w:hAnsiTheme="minorHAnsi" w:cstheme="minorHAnsi"/>
          <w:b/>
          <w:noProof/>
          <w:sz w:val="20"/>
          <w:highlight w:val="cyan"/>
        </w:rPr>
        <w:t>NOTE:</w:t>
      </w:r>
      <w:r w:rsidRPr="008E663B">
        <w:rPr>
          <w:rFonts w:asciiTheme="minorHAnsi" w:hAnsiTheme="minorHAnsi" w:cstheme="minorHAnsi"/>
          <w:bCs/>
          <w:noProof/>
          <w:sz w:val="20"/>
          <w:highlight w:val="cyan"/>
        </w:rPr>
        <w:t xml:space="preserve"> Article 4 / Paragraph </w:t>
      </w:r>
      <w:r w:rsidR="008E663B" w:rsidRPr="008E663B">
        <w:rPr>
          <w:rFonts w:asciiTheme="minorHAnsi" w:hAnsiTheme="minorHAnsi" w:cstheme="minorHAnsi"/>
          <w:bCs/>
          <w:noProof/>
          <w:sz w:val="20"/>
          <w:highlight w:val="cyan"/>
        </w:rPr>
        <w:t>A</w:t>
      </w:r>
      <w:r w:rsidRPr="008E663B">
        <w:rPr>
          <w:rFonts w:asciiTheme="minorHAnsi" w:hAnsiTheme="minorHAnsi" w:cstheme="minorHAnsi"/>
          <w:bCs/>
          <w:noProof/>
          <w:sz w:val="20"/>
          <w:highlight w:val="cyan"/>
        </w:rPr>
        <w:t xml:space="preserve"> is the Baseline Milestone Payment Schedule</w:t>
      </w:r>
      <w:r w:rsidR="008E663B" w:rsidRPr="008E663B">
        <w:rPr>
          <w:rFonts w:asciiTheme="minorHAnsi" w:hAnsiTheme="minorHAnsi" w:cstheme="minorHAnsi"/>
          <w:bCs/>
          <w:noProof/>
          <w:sz w:val="20"/>
          <w:highlight w:val="cyan"/>
        </w:rPr>
        <w:t xml:space="preserve"> that will identify milestones / R&amp;D scope LLNS considers first order of importance, and that LLNS intends to </w:t>
      </w:r>
      <w:r w:rsidR="00F27945">
        <w:rPr>
          <w:rFonts w:asciiTheme="minorHAnsi" w:hAnsiTheme="minorHAnsi" w:cstheme="minorHAnsi"/>
          <w:bCs/>
          <w:noProof/>
          <w:sz w:val="20"/>
          <w:highlight w:val="cyan"/>
        </w:rPr>
        <w:t>fund and authorize for performance</w:t>
      </w:r>
      <w:r w:rsidR="008E663B" w:rsidRPr="008E663B">
        <w:rPr>
          <w:rFonts w:asciiTheme="minorHAnsi" w:hAnsiTheme="minorHAnsi" w:cstheme="minorHAnsi"/>
          <w:bCs/>
          <w:noProof/>
          <w:sz w:val="20"/>
          <w:highlight w:val="cyan"/>
        </w:rPr>
        <w:t xml:space="preserve"> during </w:t>
      </w:r>
      <w:r w:rsidR="00F27945">
        <w:rPr>
          <w:rFonts w:asciiTheme="minorHAnsi" w:hAnsiTheme="minorHAnsi" w:cstheme="minorHAnsi"/>
          <w:bCs/>
          <w:noProof/>
          <w:sz w:val="20"/>
          <w:highlight w:val="cyan"/>
        </w:rPr>
        <w:t>lifetime of subcontact</w:t>
      </w:r>
      <w:r w:rsidR="008E663B" w:rsidRPr="008E663B">
        <w:rPr>
          <w:rFonts w:asciiTheme="minorHAnsi" w:hAnsiTheme="minorHAnsi" w:cstheme="minorHAnsi"/>
          <w:bCs/>
          <w:noProof/>
          <w:sz w:val="20"/>
          <w:highlight w:val="cyan"/>
        </w:rPr>
        <w:t xml:space="preserve">. Full funding (i.e., </w:t>
      </w:r>
      <w:r w:rsidR="00F27945">
        <w:rPr>
          <w:rFonts w:asciiTheme="minorHAnsi" w:hAnsiTheme="minorHAnsi" w:cstheme="minorHAnsi"/>
          <w:bCs/>
          <w:noProof/>
          <w:sz w:val="20"/>
          <w:highlight w:val="cyan"/>
        </w:rPr>
        <w:t xml:space="preserve">aggregate </w:t>
      </w:r>
      <w:r w:rsidR="008E663B" w:rsidRPr="008E663B">
        <w:rPr>
          <w:rFonts w:asciiTheme="minorHAnsi" w:hAnsiTheme="minorHAnsi" w:cstheme="minorHAnsi"/>
          <w:bCs/>
          <w:noProof/>
          <w:sz w:val="20"/>
          <w:highlight w:val="cyan"/>
        </w:rPr>
        <w:t xml:space="preserve">funding necessary to authorize </w:t>
      </w:r>
      <w:r w:rsidR="00F27945">
        <w:rPr>
          <w:rFonts w:asciiTheme="minorHAnsi" w:hAnsiTheme="minorHAnsi" w:cstheme="minorHAnsi"/>
          <w:bCs/>
          <w:noProof/>
          <w:sz w:val="20"/>
          <w:highlight w:val="cyan"/>
        </w:rPr>
        <w:t xml:space="preserve">all </w:t>
      </w:r>
      <w:r w:rsidR="008E663B" w:rsidRPr="008E663B">
        <w:rPr>
          <w:rFonts w:asciiTheme="minorHAnsi" w:hAnsiTheme="minorHAnsi" w:cstheme="minorHAnsi"/>
          <w:bCs/>
          <w:noProof/>
          <w:sz w:val="20"/>
          <w:highlight w:val="cyan"/>
        </w:rPr>
        <w:t>baseline milestones for performance) will not be available at the time of initial subcontract award. Therefore, Article 4 / Paragraph B allows a method for LLNS to incrementally</w:t>
      </w:r>
      <w:r w:rsidR="00F27945">
        <w:rPr>
          <w:rFonts w:asciiTheme="minorHAnsi" w:hAnsiTheme="minorHAnsi" w:cstheme="minorHAnsi"/>
          <w:bCs/>
          <w:noProof/>
          <w:sz w:val="20"/>
          <w:highlight w:val="cyan"/>
        </w:rPr>
        <w:t xml:space="preserve"> and periodically</w:t>
      </w:r>
      <w:r w:rsidR="008E663B" w:rsidRPr="008E663B">
        <w:rPr>
          <w:rFonts w:asciiTheme="minorHAnsi" w:hAnsiTheme="minorHAnsi" w:cstheme="minorHAnsi"/>
          <w:bCs/>
          <w:noProof/>
          <w:sz w:val="20"/>
          <w:highlight w:val="cyan"/>
        </w:rPr>
        <w:t xml:space="preserve"> fund baseline milestones for performance based on funding availablity and other considerations.</w:t>
      </w:r>
    </w:p>
    <w:p w14:paraId="71734D02" w14:textId="77777777" w:rsidR="00666EE7" w:rsidRDefault="00666EE7" w:rsidP="00450D91"/>
    <w:p w14:paraId="548F01C5" w14:textId="49F548A3" w:rsidR="00CE1AA5" w:rsidRPr="00DA4F72" w:rsidRDefault="00B473FE" w:rsidP="00683387">
      <w:pPr>
        <w:pStyle w:val="ArticleHeader"/>
      </w:pPr>
      <w:r>
        <w:t xml:space="preserve">FIXED </w:t>
      </w:r>
      <w:r w:rsidR="00CE1AA5" w:rsidRPr="00DA4F72">
        <w:t>PRICE</w:t>
      </w:r>
    </w:p>
    <w:p w14:paraId="0D43BD15" w14:textId="77777777" w:rsidR="00CE1AA5" w:rsidRPr="00DA4F72" w:rsidRDefault="00CE1AA5" w:rsidP="00450D91">
      <w:pPr>
        <w:keepNext/>
      </w:pPr>
    </w:p>
    <w:p w14:paraId="0029DBFF" w14:textId="77777777" w:rsidR="00C833EF" w:rsidRPr="00DA4F72" w:rsidRDefault="00C833EF" w:rsidP="00C833EF">
      <w:pPr>
        <w:pStyle w:val="ArticleParagraph-A"/>
        <w:keepNext/>
      </w:pPr>
      <w:r w:rsidRPr="00DA4F72">
        <w:t>A.</w:t>
      </w:r>
      <w:r w:rsidRPr="00DA4F72">
        <w:tab/>
        <w:t>Fixed Price</w:t>
      </w:r>
    </w:p>
    <w:p w14:paraId="60E98852" w14:textId="77777777" w:rsidR="00C833EF" w:rsidRPr="00DA4F72" w:rsidRDefault="00C833EF" w:rsidP="00C833EF">
      <w:pPr>
        <w:keepNext/>
      </w:pPr>
    </w:p>
    <w:p w14:paraId="7A1FA4F4" w14:textId="6D256223" w:rsidR="00C833EF" w:rsidRDefault="00C833EF" w:rsidP="00C833EF">
      <w:pPr>
        <w:pStyle w:val="ATextChar"/>
        <w:widowControl w:val="0"/>
        <w:ind w:firstLine="0"/>
      </w:pPr>
      <w:r w:rsidRPr="00CD27AA">
        <w:t>The Subcontractor shall perform this Subcontrac</w:t>
      </w:r>
      <w:r>
        <w:t xml:space="preserve">t for the total </w:t>
      </w:r>
      <w:r w:rsidRPr="00412794">
        <w:t xml:space="preserve">fixed price of </w:t>
      </w:r>
      <w:r w:rsidRPr="00515CE1">
        <w:t>$</w:t>
      </w:r>
      <w:r w:rsidR="006A5462">
        <w:rPr>
          <w:szCs w:val="24"/>
        </w:rPr>
        <w:t>TBD</w:t>
      </w:r>
      <w:r w:rsidRPr="00412794">
        <w:t xml:space="preserve">.  The fixed price for each milestone is identified in the </w:t>
      </w:r>
      <w:r w:rsidR="008E663B">
        <w:t xml:space="preserve">Baseline </w:t>
      </w:r>
      <w:r w:rsidRPr="00412794">
        <w:t>Milestone Payment Schedule, as</w:t>
      </w:r>
      <w:r>
        <w:t xml:space="preserve"> follows.</w:t>
      </w:r>
    </w:p>
    <w:p w14:paraId="2B0813D6" w14:textId="77777777" w:rsidR="00C833EF" w:rsidRPr="00E00C42" w:rsidRDefault="00C833EF" w:rsidP="00C833EF">
      <w:pPr>
        <w:pStyle w:val="ATextChar"/>
        <w:widowControl w:val="0"/>
        <w:ind w:left="0" w:firstLine="0"/>
      </w:pPr>
    </w:p>
    <w:tbl>
      <w:tblPr>
        <w:tblStyle w:val="TableGrid"/>
        <w:tblW w:w="9414" w:type="dxa"/>
        <w:tblInd w:w="792" w:type="dxa"/>
        <w:tblCellMar>
          <w:left w:w="72" w:type="dxa"/>
          <w:right w:w="72" w:type="dxa"/>
        </w:tblCellMar>
        <w:tblLook w:val="01E0" w:firstRow="1" w:lastRow="1" w:firstColumn="1" w:lastColumn="1" w:noHBand="0" w:noVBand="0"/>
      </w:tblPr>
      <w:tblGrid>
        <w:gridCol w:w="1317"/>
        <w:gridCol w:w="4715"/>
        <w:gridCol w:w="1138"/>
        <w:gridCol w:w="2244"/>
      </w:tblGrid>
      <w:tr w:rsidR="00C833EF" w:rsidRPr="00313481" w14:paraId="3BA430FE" w14:textId="77777777" w:rsidTr="00F01EFB">
        <w:trPr>
          <w:cantSplit/>
          <w:tblHeader/>
        </w:trPr>
        <w:tc>
          <w:tcPr>
            <w:tcW w:w="1317" w:type="dxa"/>
          </w:tcPr>
          <w:p w14:paraId="6FEDC17F" w14:textId="77777777" w:rsidR="00C833EF" w:rsidRPr="00313481" w:rsidRDefault="00C833EF" w:rsidP="00F01EFB">
            <w:pPr>
              <w:widowControl w:val="0"/>
              <w:jc w:val="center"/>
              <w:rPr>
                <w:b/>
                <w:bCs/>
                <w:sz w:val="20"/>
              </w:rPr>
            </w:pPr>
            <w:r>
              <w:rPr>
                <w:b/>
                <w:bCs/>
                <w:sz w:val="20"/>
              </w:rPr>
              <w:t>Milestone No.</w:t>
            </w:r>
          </w:p>
        </w:tc>
        <w:tc>
          <w:tcPr>
            <w:tcW w:w="4715" w:type="dxa"/>
          </w:tcPr>
          <w:p w14:paraId="0F250D4A" w14:textId="77777777" w:rsidR="00C833EF" w:rsidRPr="00313481" w:rsidRDefault="00C833EF" w:rsidP="00F01EFB">
            <w:pPr>
              <w:widowControl w:val="0"/>
              <w:rPr>
                <w:b/>
                <w:bCs/>
                <w:sz w:val="20"/>
              </w:rPr>
            </w:pPr>
            <w:r>
              <w:rPr>
                <w:b/>
                <w:bCs/>
                <w:sz w:val="20"/>
              </w:rPr>
              <w:t xml:space="preserve">Milestone </w:t>
            </w:r>
            <w:r w:rsidRPr="00313481">
              <w:rPr>
                <w:b/>
                <w:bCs/>
                <w:sz w:val="20"/>
              </w:rPr>
              <w:t>Description</w:t>
            </w:r>
          </w:p>
        </w:tc>
        <w:tc>
          <w:tcPr>
            <w:tcW w:w="1138" w:type="dxa"/>
          </w:tcPr>
          <w:p w14:paraId="1B7B95F1" w14:textId="77777777" w:rsidR="00C833EF" w:rsidRPr="00313481" w:rsidRDefault="00C833EF" w:rsidP="00F01EFB">
            <w:pPr>
              <w:widowControl w:val="0"/>
              <w:jc w:val="center"/>
              <w:rPr>
                <w:b/>
                <w:bCs/>
                <w:sz w:val="20"/>
              </w:rPr>
            </w:pPr>
            <w:r w:rsidRPr="00313481">
              <w:rPr>
                <w:b/>
                <w:bCs/>
                <w:sz w:val="20"/>
              </w:rPr>
              <w:t>Due Date</w:t>
            </w:r>
          </w:p>
        </w:tc>
        <w:tc>
          <w:tcPr>
            <w:tcW w:w="2244" w:type="dxa"/>
          </w:tcPr>
          <w:p w14:paraId="6F341205" w14:textId="77777777" w:rsidR="00C833EF" w:rsidRPr="00313481" w:rsidRDefault="00C833EF" w:rsidP="00F01EFB">
            <w:pPr>
              <w:widowControl w:val="0"/>
              <w:jc w:val="center"/>
              <w:rPr>
                <w:b/>
                <w:bCs/>
                <w:sz w:val="20"/>
              </w:rPr>
            </w:pPr>
            <w:r>
              <w:rPr>
                <w:b/>
                <w:bCs/>
                <w:sz w:val="20"/>
              </w:rPr>
              <w:t xml:space="preserve">Payment </w:t>
            </w:r>
            <w:r w:rsidRPr="00313481">
              <w:rPr>
                <w:b/>
                <w:bCs/>
                <w:sz w:val="20"/>
              </w:rPr>
              <w:t>Amount</w:t>
            </w:r>
          </w:p>
        </w:tc>
      </w:tr>
      <w:tr w:rsidR="00C833EF" w:rsidRPr="00313481" w14:paraId="4A1E1250" w14:textId="77777777" w:rsidTr="00F01EFB">
        <w:trPr>
          <w:cantSplit/>
        </w:trPr>
        <w:tc>
          <w:tcPr>
            <w:tcW w:w="1317" w:type="dxa"/>
          </w:tcPr>
          <w:p w14:paraId="1EEEE20E" w14:textId="33B648AD" w:rsidR="00C833EF" w:rsidRPr="00515CE1" w:rsidRDefault="006A5462" w:rsidP="00F01EFB">
            <w:pPr>
              <w:widowControl w:val="0"/>
              <w:jc w:val="center"/>
              <w:rPr>
                <w:rFonts w:cs="Times New Roman"/>
                <w:color w:val="000000"/>
                <w:sz w:val="20"/>
                <w:szCs w:val="20"/>
              </w:rPr>
            </w:pPr>
            <w:r>
              <w:rPr>
                <w:rFonts w:cs="Times New Roman"/>
                <w:color w:val="000000"/>
                <w:sz w:val="20"/>
                <w:szCs w:val="20"/>
              </w:rPr>
              <w:t>TBD</w:t>
            </w:r>
          </w:p>
        </w:tc>
        <w:tc>
          <w:tcPr>
            <w:tcW w:w="4715" w:type="dxa"/>
          </w:tcPr>
          <w:p w14:paraId="4D62EEA7" w14:textId="1398DB45" w:rsidR="00C833EF" w:rsidRPr="00515CE1" w:rsidRDefault="006A5462" w:rsidP="00F01EFB">
            <w:pPr>
              <w:widowControl w:val="0"/>
              <w:rPr>
                <w:rFonts w:cs="Times New Roman"/>
                <w:sz w:val="20"/>
                <w:szCs w:val="20"/>
              </w:rPr>
            </w:pPr>
            <w:r>
              <w:rPr>
                <w:rFonts w:cs="Times New Roman"/>
                <w:color w:val="000000"/>
                <w:sz w:val="20"/>
                <w:szCs w:val="20"/>
              </w:rPr>
              <w:t>TBD</w:t>
            </w:r>
          </w:p>
        </w:tc>
        <w:tc>
          <w:tcPr>
            <w:tcW w:w="1138" w:type="dxa"/>
            <w:vAlign w:val="center"/>
          </w:tcPr>
          <w:p w14:paraId="676A6604" w14:textId="0DCD8C18" w:rsidR="00C833EF" w:rsidRPr="00515CE1" w:rsidRDefault="006A5462" w:rsidP="00F01EFB">
            <w:pPr>
              <w:widowControl w:val="0"/>
              <w:tabs>
                <w:tab w:val="right" w:pos="882"/>
              </w:tabs>
              <w:jc w:val="center"/>
              <w:rPr>
                <w:rFonts w:cs="Times New Roman"/>
                <w:color w:val="000000"/>
                <w:sz w:val="20"/>
                <w:szCs w:val="20"/>
              </w:rPr>
            </w:pPr>
            <w:r>
              <w:rPr>
                <w:rFonts w:cs="Times New Roman"/>
                <w:color w:val="000000"/>
                <w:sz w:val="20"/>
                <w:szCs w:val="20"/>
              </w:rPr>
              <w:t>TBD</w:t>
            </w:r>
          </w:p>
        </w:tc>
        <w:tc>
          <w:tcPr>
            <w:tcW w:w="2244" w:type="dxa"/>
          </w:tcPr>
          <w:p w14:paraId="77D89020" w14:textId="5B80AA2F" w:rsidR="00C833EF" w:rsidRPr="00AC6E50" w:rsidRDefault="00C833EF" w:rsidP="00F01EFB">
            <w:pPr>
              <w:widowControl w:val="0"/>
              <w:tabs>
                <w:tab w:val="decimal" w:pos="1425"/>
              </w:tabs>
              <w:jc w:val="center"/>
              <w:rPr>
                <w:rFonts w:cs="Times New Roman"/>
                <w:bCs/>
                <w:sz w:val="20"/>
                <w:szCs w:val="20"/>
              </w:rPr>
            </w:pPr>
            <w:r w:rsidRPr="00AC6E50">
              <w:rPr>
                <w:rFonts w:cs="Times New Roman"/>
                <w:bCs/>
                <w:sz w:val="20"/>
                <w:szCs w:val="20"/>
              </w:rPr>
              <w:t>$</w:t>
            </w:r>
            <w:r w:rsidR="006A5462">
              <w:rPr>
                <w:rFonts w:cs="Times New Roman"/>
                <w:bCs/>
                <w:sz w:val="20"/>
                <w:szCs w:val="20"/>
              </w:rPr>
              <w:t>TBD</w:t>
            </w:r>
          </w:p>
        </w:tc>
      </w:tr>
      <w:tr w:rsidR="006A5462" w:rsidRPr="00313481" w14:paraId="4797EACE" w14:textId="77777777" w:rsidTr="00060C24">
        <w:trPr>
          <w:cantSplit/>
        </w:trPr>
        <w:tc>
          <w:tcPr>
            <w:tcW w:w="1317" w:type="dxa"/>
          </w:tcPr>
          <w:p w14:paraId="7EB1561C" w14:textId="5FEA4EC1" w:rsidR="006A5462" w:rsidRPr="00515CE1" w:rsidRDefault="006A5462" w:rsidP="006A5462">
            <w:pPr>
              <w:widowControl w:val="0"/>
              <w:jc w:val="center"/>
              <w:rPr>
                <w:rFonts w:cs="Times New Roman"/>
                <w:color w:val="000000"/>
                <w:sz w:val="20"/>
                <w:szCs w:val="20"/>
              </w:rPr>
            </w:pPr>
            <w:r>
              <w:rPr>
                <w:rFonts w:cs="Times New Roman"/>
                <w:color w:val="000000"/>
                <w:sz w:val="20"/>
                <w:szCs w:val="20"/>
              </w:rPr>
              <w:t>TBD</w:t>
            </w:r>
          </w:p>
        </w:tc>
        <w:tc>
          <w:tcPr>
            <w:tcW w:w="4715" w:type="dxa"/>
          </w:tcPr>
          <w:p w14:paraId="74416236" w14:textId="2B6257B5" w:rsidR="006A5462" w:rsidRPr="00515CE1" w:rsidRDefault="006A5462" w:rsidP="006A5462">
            <w:pPr>
              <w:widowControl w:val="0"/>
              <w:rPr>
                <w:rFonts w:cs="Times New Roman"/>
                <w:sz w:val="20"/>
                <w:szCs w:val="20"/>
              </w:rPr>
            </w:pPr>
            <w:r>
              <w:rPr>
                <w:rFonts w:cs="Times New Roman"/>
                <w:color w:val="000000"/>
                <w:sz w:val="20"/>
                <w:szCs w:val="20"/>
              </w:rPr>
              <w:t>TBD</w:t>
            </w:r>
          </w:p>
        </w:tc>
        <w:tc>
          <w:tcPr>
            <w:tcW w:w="1138" w:type="dxa"/>
            <w:vAlign w:val="center"/>
          </w:tcPr>
          <w:p w14:paraId="0B619D25" w14:textId="79726F83" w:rsidR="006A5462" w:rsidRPr="00515CE1" w:rsidRDefault="006A5462" w:rsidP="006A5462">
            <w:pPr>
              <w:widowControl w:val="0"/>
              <w:tabs>
                <w:tab w:val="right" w:pos="882"/>
              </w:tabs>
              <w:jc w:val="center"/>
              <w:rPr>
                <w:rFonts w:cs="Times New Roman"/>
                <w:color w:val="000000"/>
                <w:sz w:val="20"/>
                <w:szCs w:val="20"/>
              </w:rPr>
            </w:pPr>
            <w:r>
              <w:rPr>
                <w:rFonts w:cs="Times New Roman"/>
                <w:color w:val="000000"/>
                <w:sz w:val="20"/>
                <w:szCs w:val="20"/>
              </w:rPr>
              <w:t>TBD</w:t>
            </w:r>
          </w:p>
        </w:tc>
        <w:tc>
          <w:tcPr>
            <w:tcW w:w="2244" w:type="dxa"/>
          </w:tcPr>
          <w:p w14:paraId="3AD63ABB" w14:textId="729E852F" w:rsidR="006A5462" w:rsidRPr="00AC6E50" w:rsidRDefault="006A5462" w:rsidP="006A5462">
            <w:pPr>
              <w:widowControl w:val="0"/>
              <w:tabs>
                <w:tab w:val="decimal" w:pos="1425"/>
              </w:tabs>
              <w:jc w:val="center"/>
              <w:rPr>
                <w:rFonts w:cs="Times New Roman"/>
                <w:bCs/>
                <w:sz w:val="20"/>
                <w:szCs w:val="20"/>
              </w:rPr>
            </w:pPr>
            <w:r w:rsidRPr="00AC6E50">
              <w:rPr>
                <w:rFonts w:cs="Times New Roman"/>
                <w:bCs/>
                <w:sz w:val="20"/>
                <w:szCs w:val="20"/>
              </w:rPr>
              <w:t>$</w:t>
            </w:r>
            <w:r>
              <w:rPr>
                <w:rFonts w:cs="Times New Roman"/>
                <w:bCs/>
                <w:sz w:val="20"/>
                <w:szCs w:val="20"/>
              </w:rPr>
              <w:t>TBD</w:t>
            </w:r>
          </w:p>
        </w:tc>
      </w:tr>
      <w:tr w:rsidR="006A5462" w:rsidRPr="00313481" w14:paraId="0804C2E2" w14:textId="77777777" w:rsidTr="00F01EFB">
        <w:trPr>
          <w:cantSplit/>
        </w:trPr>
        <w:tc>
          <w:tcPr>
            <w:tcW w:w="1317" w:type="dxa"/>
          </w:tcPr>
          <w:p w14:paraId="2A17B6A1" w14:textId="2B9D8DA5" w:rsidR="006A5462" w:rsidRPr="00515CE1" w:rsidRDefault="006A5462" w:rsidP="006A5462">
            <w:pPr>
              <w:widowControl w:val="0"/>
              <w:jc w:val="center"/>
              <w:rPr>
                <w:rFonts w:cs="Times New Roman"/>
                <w:color w:val="000000"/>
                <w:sz w:val="20"/>
                <w:szCs w:val="20"/>
              </w:rPr>
            </w:pPr>
            <w:r>
              <w:rPr>
                <w:rFonts w:cs="Times New Roman"/>
                <w:color w:val="000000"/>
                <w:sz w:val="20"/>
                <w:szCs w:val="20"/>
              </w:rPr>
              <w:t>TBD</w:t>
            </w:r>
          </w:p>
        </w:tc>
        <w:tc>
          <w:tcPr>
            <w:tcW w:w="4715" w:type="dxa"/>
          </w:tcPr>
          <w:p w14:paraId="6AC61780" w14:textId="4AA731E9" w:rsidR="006A5462" w:rsidRPr="00515CE1" w:rsidRDefault="006A5462" w:rsidP="006A5462">
            <w:pPr>
              <w:widowControl w:val="0"/>
              <w:rPr>
                <w:rFonts w:cs="Times New Roman"/>
                <w:sz w:val="20"/>
                <w:szCs w:val="20"/>
              </w:rPr>
            </w:pPr>
            <w:r>
              <w:rPr>
                <w:rFonts w:cs="Times New Roman"/>
                <w:color w:val="000000"/>
                <w:sz w:val="20"/>
                <w:szCs w:val="20"/>
              </w:rPr>
              <w:t>TBD</w:t>
            </w:r>
          </w:p>
        </w:tc>
        <w:tc>
          <w:tcPr>
            <w:tcW w:w="1138" w:type="dxa"/>
            <w:vAlign w:val="center"/>
          </w:tcPr>
          <w:p w14:paraId="4C80819C" w14:textId="2F1AE72D" w:rsidR="006A5462" w:rsidRPr="00515CE1" w:rsidRDefault="006A5462" w:rsidP="006A5462">
            <w:pPr>
              <w:widowControl w:val="0"/>
              <w:tabs>
                <w:tab w:val="right" w:pos="882"/>
              </w:tabs>
              <w:jc w:val="center"/>
              <w:rPr>
                <w:rFonts w:cs="Times New Roman"/>
                <w:color w:val="000000"/>
                <w:sz w:val="20"/>
                <w:szCs w:val="20"/>
              </w:rPr>
            </w:pPr>
            <w:r>
              <w:rPr>
                <w:rFonts w:cs="Times New Roman"/>
                <w:color w:val="000000"/>
                <w:sz w:val="20"/>
                <w:szCs w:val="20"/>
              </w:rPr>
              <w:t>TBD</w:t>
            </w:r>
          </w:p>
        </w:tc>
        <w:tc>
          <w:tcPr>
            <w:tcW w:w="2244" w:type="dxa"/>
          </w:tcPr>
          <w:p w14:paraId="78F91E1A" w14:textId="08F156B2" w:rsidR="006A5462" w:rsidRPr="00AC6E50" w:rsidRDefault="006A5462" w:rsidP="006A5462">
            <w:pPr>
              <w:widowControl w:val="0"/>
              <w:tabs>
                <w:tab w:val="decimal" w:pos="1425"/>
              </w:tabs>
              <w:jc w:val="center"/>
              <w:rPr>
                <w:rFonts w:cs="Times New Roman"/>
                <w:bCs/>
                <w:sz w:val="20"/>
                <w:szCs w:val="20"/>
              </w:rPr>
            </w:pPr>
            <w:r w:rsidRPr="00AC6E50">
              <w:rPr>
                <w:rFonts w:cs="Times New Roman"/>
                <w:bCs/>
                <w:sz w:val="20"/>
                <w:szCs w:val="20"/>
              </w:rPr>
              <w:t>$</w:t>
            </w:r>
            <w:r>
              <w:rPr>
                <w:rFonts w:cs="Times New Roman"/>
                <w:bCs/>
                <w:sz w:val="20"/>
                <w:szCs w:val="20"/>
              </w:rPr>
              <w:t>TBD</w:t>
            </w:r>
          </w:p>
        </w:tc>
      </w:tr>
    </w:tbl>
    <w:p w14:paraId="40337402" w14:textId="2B0B0EBA" w:rsidR="00C833EF" w:rsidRPr="00DA4F72" w:rsidRDefault="00C833EF" w:rsidP="00C833EF">
      <w:pPr>
        <w:pStyle w:val="ArticleParagraph-Asub"/>
        <w:ind w:left="0"/>
        <w:rPr>
          <w:noProof/>
        </w:rPr>
      </w:pPr>
    </w:p>
    <w:p w14:paraId="10F638F7" w14:textId="77777777" w:rsidR="00C833EF" w:rsidRPr="00DA4F72" w:rsidRDefault="00C833EF" w:rsidP="00C833EF">
      <w:pPr>
        <w:pStyle w:val="ArticleParagraph-A"/>
        <w:keepNext/>
        <w:rPr>
          <w:noProof/>
        </w:rPr>
      </w:pPr>
      <w:r>
        <w:rPr>
          <w:noProof/>
        </w:rPr>
        <w:t>B.</w:t>
      </w:r>
      <w:r>
        <w:rPr>
          <w:noProof/>
        </w:rPr>
        <w:tab/>
      </w:r>
      <w:r w:rsidRPr="00DA4F72">
        <w:rPr>
          <w:noProof/>
        </w:rPr>
        <w:t>Allocated Funding Limit</w:t>
      </w:r>
    </w:p>
    <w:p w14:paraId="50F403BE" w14:textId="77777777" w:rsidR="00C833EF" w:rsidRPr="00DA4F72" w:rsidRDefault="00C833EF" w:rsidP="00C833EF">
      <w:pPr>
        <w:keepNext/>
        <w:rPr>
          <w:noProof/>
        </w:rPr>
      </w:pPr>
    </w:p>
    <w:p w14:paraId="3C4069B7" w14:textId="189DE40C" w:rsidR="00C833EF" w:rsidRDefault="00C833EF" w:rsidP="00C833EF">
      <w:pPr>
        <w:ind w:left="720"/>
        <w:jc w:val="both"/>
      </w:pPr>
      <w:r>
        <w:t>Full funding is not presently available for this Subcontract.</w:t>
      </w:r>
      <w:r w:rsidRPr="000D4626">
        <w:t xml:space="preserve"> </w:t>
      </w:r>
      <w:r>
        <w:t xml:space="preserve">The total funding amount currently allocated for payments under this Subcontract (the “allocated funding limit”) is </w:t>
      </w:r>
      <w:r w:rsidR="006A5462">
        <w:t>$TBD</w:t>
      </w:r>
      <w:r>
        <w:t xml:space="preserve">.  The allocated funding limit shall cover performance of specific milestones of the </w:t>
      </w:r>
      <w:r w:rsidR="008E663B">
        <w:t xml:space="preserve">Baseline </w:t>
      </w:r>
      <w:r>
        <w:t>Milestone Payment Schedule, identified as follows.</w:t>
      </w:r>
    </w:p>
    <w:p w14:paraId="0E245538" w14:textId="77777777" w:rsidR="00C833EF" w:rsidRDefault="00C833EF" w:rsidP="00C833EF">
      <w:pPr>
        <w:outlineLvl w:val="0"/>
      </w:pPr>
    </w:p>
    <w:p w14:paraId="22E6009D" w14:textId="18C0F944" w:rsidR="00C833EF" w:rsidRDefault="00C833EF" w:rsidP="00C833EF">
      <w:pPr>
        <w:ind w:left="720"/>
        <w:outlineLvl w:val="0"/>
        <w:rPr>
          <w:b/>
          <w:u w:val="single"/>
        </w:rPr>
      </w:pPr>
      <w:r>
        <w:rPr>
          <w:b/>
          <w:szCs w:val="24"/>
          <w:u w:val="single"/>
        </w:rPr>
        <w:t>Milestones Authorized</w:t>
      </w:r>
      <w:r>
        <w:rPr>
          <w:b/>
          <w:u w:val="single"/>
        </w:rPr>
        <w:t xml:space="preserve"> for Performance</w:t>
      </w:r>
    </w:p>
    <w:p w14:paraId="6CB25482" w14:textId="65D3586E" w:rsidR="00C833EF" w:rsidRDefault="006A5462" w:rsidP="00C833EF">
      <w:pPr>
        <w:ind w:left="720"/>
      </w:pPr>
      <w:r>
        <w:t>TBD</w:t>
      </w:r>
    </w:p>
    <w:p w14:paraId="4E5C577F" w14:textId="77777777" w:rsidR="00C833EF" w:rsidRDefault="00C833EF" w:rsidP="00C833EF"/>
    <w:p w14:paraId="47957EEC" w14:textId="77777777" w:rsidR="00C833EF" w:rsidRDefault="00C833EF" w:rsidP="00C833EF">
      <w:pPr>
        <w:ind w:left="720"/>
        <w:jc w:val="both"/>
      </w:pPr>
      <w:r w:rsidRPr="00AE7FC5">
        <w:t xml:space="preserve">It is anticipated that </w:t>
      </w:r>
      <w:r>
        <w:t>LLNS</w:t>
      </w:r>
      <w:r w:rsidRPr="00AE7FC5">
        <w:t xml:space="preserve"> will periodically increase the allocated funding limit, subject to annual appropriated funding from Congress.  The allocated funding limit may only be changed by a written unilateral modification to this Subcontract issued by the </w:t>
      </w:r>
      <w:r>
        <w:t>LLNS Contract Analyst, or a designee.</w:t>
      </w:r>
    </w:p>
    <w:p w14:paraId="4D331121" w14:textId="77777777" w:rsidR="00C833EF" w:rsidRDefault="00C833EF" w:rsidP="00C833EF">
      <w:pPr>
        <w:ind w:left="720" w:hanging="720"/>
        <w:jc w:val="both"/>
        <w:rPr>
          <w:noProof/>
        </w:rPr>
      </w:pPr>
    </w:p>
    <w:p w14:paraId="3B250052" w14:textId="77777777" w:rsidR="00C833EF" w:rsidRDefault="00C833EF" w:rsidP="00C833EF">
      <w:pPr>
        <w:rPr>
          <w:noProof/>
        </w:rPr>
      </w:pPr>
      <w:r>
        <w:rPr>
          <w:noProof/>
        </w:rPr>
        <w:t>C.</w:t>
      </w:r>
      <w:r>
        <w:rPr>
          <w:noProof/>
        </w:rPr>
        <w:tab/>
        <w:t>Limitation of LLNS’ Liability</w:t>
      </w:r>
    </w:p>
    <w:p w14:paraId="158A21C2" w14:textId="77777777" w:rsidR="00C833EF" w:rsidRDefault="00C833EF" w:rsidP="00C833EF">
      <w:pPr>
        <w:rPr>
          <w:noProof/>
        </w:rPr>
      </w:pPr>
    </w:p>
    <w:p w14:paraId="6F3DCC64" w14:textId="77777777" w:rsidR="00C833EF" w:rsidRPr="00801F0F" w:rsidRDefault="00C833EF" w:rsidP="00C833EF">
      <w:pPr>
        <w:ind w:left="720"/>
        <w:jc w:val="both"/>
      </w:pPr>
      <w:r>
        <w:t>LLNS’ obligation for payment hereunder is expressly limited to the allocated funding limit of this Subcontract, any other provision to the contrary notwithstanding.  In no event shall LLNS’ liability to the Subcontractor hereunder exceed the allocated funding limit of this Subcontract.  The Subcontractor is not obligated to perform work or otherwise continue performance beyond the milestones specifically authorized for performance and identified in Paragraph B, above.</w:t>
      </w:r>
    </w:p>
    <w:p w14:paraId="30D70C05" w14:textId="1FF63053" w:rsidR="00C833EF" w:rsidRDefault="00C833EF" w:rsidP="00C833EF">
      <w:pPr>
        <w:jc w:val="both"/>
      </w:pPr>
    </w:p>
    <w:p w14:paraId="42A8A683" w14:textId="77777777" w:rsidR="0008790C" w:rsidRDefault="0008790C" w:rsidP="00C833EF">
      <w:pPr>
        <w:jc w:val="both"/>
      </w:pPr>
    </w:p>
    <w:p w14:paraId="44F4E0AD" w14:textId="77777777" w:rsidR="00C833EF" w:rsidRDefault="00C833EF" w:rsidP="00C833EF">
      <w:r>
        <w:t>D.</w:t>
      </w:r>
      <w:r>
        <w:tab/>
        <w:t>Work Authorization</w:t>
      </w:r>
    </w:p>
    <w:p w14:paraId="015C23EB" w14:textId="77777777" w:rsidR="00C833EF" w:rsidRDefault="00C833EF" w:rsidP="00C833EF">
      <w:pPr>
        <w:jc w:val="both"/>
      </w:pPr>
    </w:p>
    <w:p w14:paraId="490C6F9B" w14:textId="5F12D5FE" w:rsidR="00CE1AA5" w:rsidRPr="00DA4F72" w:rsidRDefault="00C833EF" w:rsidP="006A5462">
      <w:pPr>
        <w:ind w:left="720"/>
        <w:jc w:val="both"/>
      </w:pPr>
      <w:r>
        <w:t>LLNS will use a phased approach to authorizing work under this Subcontract. The Subcontractor is only authorized and obligated to perform work for specific milestones, which are identified in Paragraph B, above.  It is anticipated that LLNS will periodically authorize additional milestones for performance, subject to annual appropriated funding from Congress and research results achieved by the Subcontractor.  LLNS will authorize additional milestones for performance under this Subcontract by a written unilateral modification to this Subcontract issued by the LLNS Contract Analyst, or a designee.</w:t>
      </w:r>
    </w:p>
    <w:p w14:paraId="7D227887" w14:textId="696208B2" w:rsidR="00CE1AA5" w:rsidRDefault="00CE1AA5" w:rsidP="00450D91">
      <w:pPr>
        <w:rPr>
          <w:noProof/>
          <w:highlight w:val="yellow"/>
        </w:rPr>
      </w:pPr>
    </w:p>
    <w:p w14:paraId="060C4E8D" w14:textId="01913847" w:rsidR="000025AC" w:rsidRDefault="000025AC" w:rsidP="00450D91">
      <w:pPr>
        <w:rPr>
          <w:rFonts w:asciiTheme="minorHAnsi" w:hAnsiTheme="minorHAnsi" w:cstheme="minorHAnsi"/>
          <w:bCs/>
          <w:noProof/>
          <w:sz w:val="20"/>
          <w:highlight w:val="cyan"/>
        </w:rPr>
      </w:pPr>
      <w:r w:rsidRPr="008E663B">
        <w:rPr>
          <w:rFonts w:asciiTheme="minorHAnsi" w:hAnsiTheme="minorHAnsi" w:cstheme="minorHAnsi"/>
          <w:b/>
          <w:noProof/>
          <w:sz w:val="20"/>
          <w:highlight w:val="cyan"/>
        </w:rPr>
        <w:t>NOTE:</w:t>
      </w:r>
      <w:r w:rsidRPr="008E663B">
        <w:rPr>
          <w:rFonts w:asciiTheme="minorHAnsi" w:hAnsiTheme="minorHAnsi" w:cstheme="minorHAnsi"/>
          <w:bCs/>
          <w:noProof/>
          <w:sz w:val="20"/>
          <w:highlight w:val="cyan"/>
        </w:rPr>
        <w:t xml:space="preserve"> </w:t>
      </w:r>
      <w:r>
        <w:rPr>
          <w:rFonts w:asciiTheme="minorHAnsi" w:hAnsiTheme="minorHAnsi" w:cstheme="minorHAnsi"/>
          <w:bCs/>
          <w:noProof/>
          <w:sz w:val="20"/>
          <w:highlight w:val="cyan"/>
        </w:rPr>
        <w:t>Article 5 will identify optional milestones / R&amp;D scope (if any) that LLNS considers second order of importance. LLNS may or may not execise one or more optional milestones during the lifetime of the subcontract.</w:t>
      </w:r>
    </w:p>
    <w:p w14:paraId="025CCFE3" w14:textId="77777777" w:rsidR="000025AC" w:rsidRDefault="000025AC" w:rsidP="00450D91">
      <w:pPr>
        <w:rPr>
          <w:rFonts w:asciiTheme="minorHAnsi" w:hAnsiTheme="minorHAnsi" w:cstheme="minorHAnsi"/>
          <w:bCs/>
          <w:noProof/>
          <w:sz w:val="20"/>
          <w:highlight w:val="cyan"/>
        </w:rPr>
      </w:pPr>
    </w:p>
    <w:p w14:paraId="2E76D079" w14:textId="7C9C8A43" w:rsidR="00CE1AA5" w:rsidRPr="000F5713" w:rsidRDefault="00F8654D" w:rsidP="00683387">
      <w:pPr>
        <w:pStyle w:val="ArticleHeader"/>
        <w:rPr>
          <w:noProof/>
        </w:rPr>
      </w:pPr>
      <w:r>
        <w:rPr>
          <w:noProof/>
        </w:rPr>
        <w:t xml:space="preserve">FIXED PRICE </w:t>
      </w:r>
      <w:r w:rsidR="00CE1AA5" w:rsidRPr="000F5713">
        <w:rPr>
          <w:noProof/>
        </w:rPr>
        <w:t>Option</w:t>
      </w:r>
      <w:r>
        <w:rPr>
          <w:noProof/>
        </w:rPr>
        <w:t>s</w:t>
      </w:r>
    </w:p>
    <w:p w14:paraId="236839A8" w14:textId="77777777" w:rsidR="004020B2" w:rsidRPr="00A935B8" w:rsidRDefault="004020B2" w:rsidP="004020B2">
      <w:pPr>
        <w:keepNext/>
        <w:rPr>
          <w:noProof/>
          <w:highlight w:val="yellow"/>
        </w:rPr>
      </w:pPr>
    </w:p>
    <w:p w14:paraId="707894E8" w14:textId="37EA564F" w:rsidR="004020B2" w:rsidRDefault="004020B2" w:rsidP="004020B2">
      <w:pPr>
        <w:pStyle w:val="1"/>
        <w:widowControl w:val="0"/>
        <w:numPr>
          <w:ilvl w:val="0"/>
          <w:numId w:val="8"/>
        </w:numPr>
      </w:pPr>
      <w:r>
        <w:t>LLNS</w:t>
      </w:r>
      <w:r w:rsidRPr="008B656F">
        <w:t xml:space="preserve"> </w:t>
      </w:r>
      <w:r>
        <w:t xml:space="preserve">and </w:t>
      </w:r>
      <w:r w:rsidRPr="008B656F">
        <w:t xml:space="preserve">the Subcontractor agree to fixed price </w:t>
      </w:r>
      <w:r>
        <w:t>options in this Subcontract</w:t>
      </w:r>
      <w:r w:rsidRPr="00092765">
        <w:t xml:space="preserve"> </w:t>
      </w:r>
      <w:r>
        <w:t xml:space="preserve">for </w:t>
      </w:r>
      <w:r w:rsidRPr="0065342B">
        <w:t xml:space="preserve">additional </w:t>
      </w:r>
      <w:r w:rsidR="00D0295E" w:rsidRPr="00FC7620">
        <w:t>NG-HPCN R&amp;D</w:t>
      </w:r>
      <w:r w:rsidRPr="00B46298">
        <w:t>, as follows</w:t>
      </w:r>
      <w:r>
        <w:t>.</w:t>
      </w:r>
    </w:p>
    <w:p w14:paraId="5CF56EEE" w14:textId="77777777" w:rsidR="004020B2" w:rsidRDefault="004020B2" w:rsidP="004020B2">
      <w:pPr>
        <w:pStyle w:val="1"/>
        <w:widowControl w:val="0"/>
        <w:ind w:left="1080" w:firstLine="0"/>
      </w:pPr>
    </w:p>
    <w:tbl>
      <w:tblPr>
        <w:tblStyle w:val="TableGrid"/>
        <w:tblW w:w="9270" w:type="dxa"/>
        <w:tblInd w:w="895" w:type="dxa"/>
        <w:tblLook w:val="01E0" w:firstRow="1" w:lastRow="1" w:firstColumn="1" w:lastColumn="1" w:noHBand="0" w:noVBand="0"/>
      </w:tblPr>
      <w:tblGrid>
        <w:gridCol w:w="838"/>
        <w:gridCol w:w="1461"/>
        <w:gridCol w:w="3187"/>
        <w:gridCol w:w="1427"/>
        <w:gridCol w:w="2357"/>
      </w:tblGrid>
      <w:tr w:rsidR="004020B2" w:rsidRPr="008B656F" w14:paraId="038D1765" w14:textId="77777777" w:rsidTr="00F01EFB">
        <w:trPr>
          <w:cantSplit/>
          <w:tblHeader/>
        </w:trPr>
        <w:tc>
          <w:tcPr>
            <w:tcW w:w="838" w:type="dxa"/>
            <w:tcBorders>
              <w:bottom w:val="single" w:sz="4" w:space="0" w:color="auto"/>
            </w:tcBorders>
          </w:tcPr>
          <w:p w14:paraId="4EAD9AF8" w14:textId="77777777" w:rsidR="004020B2" w:rsidRPr="008B656F" w:rsidRDefault="004020B2" w:rsidP="00F01EFB">
            <w:pPr>
              <w:pStyle w:val="1"/>
              <w:widowControl w:val="0"/>
              <w:ind w:left="0" w:firstLine="0"/>
              <w:rPr>
                <w:b/>
                <w:sz w:val="20"/>
              </w:rPr>
            </w:pPr>
            <w:r w:rsidRPr="008B656F">
              <w:rPr>
                <w:b/>
                <w:sz w:val="20"/>
              </w:rPr>
              <w:t>Option No.</w:t>
            </w:r>
          </w:p>
        </w:tc>
        <w:tc>
          <w:tcPr>
            <w:tcW w:w="1461" w:type="dxa"/>
          </w:tcPr>
          <w:p w14:paraId="751EF541" w14:textId="77777777" w:rsidR="004020B2" w:rsidRPr="008B656F" w:rsidRDefault="004020B2" w:rsidP="00F01EFB">
            <w:pPr>
              <w:pStyle w:val="1"/>
              <w:widowControl w:val="0"/>
              <w:ind w:left="0" w:firstLine="0"/>
              <w:rPr>
                <w:b/>
                <w:sz w:val="20"/>
              </w:rPr>
            </w:pPr>
            <w:r w:rsidRPr="008B656F">
              <w:rPr>
                <w:b/>
                <w:sz w:val="20"/>
              </w:rPr>
              <w:t>Milestone</w:t>
            </w:r>
            <w:r>
              <w:rPr>
                <w:b/>
                <w:sz w:val="20"/>
              </w:rPr>
              <w:t xml:space="preserve"> No.</w:t>
            </w:r>
          </w:p>
        </w:tc>
        <w:tc>
          <w:tcPr>
            <w:tcW w:w="3187" w:type="dxa"/>
          </w:tcPr>
          <w:p w14:paraId="3FB3C4A9" w14:textId="77777777" w:rsidR="004020B2" w:rsidRPr="008B656F" w:rsidRDefault="004020B2" w:rsidP="00F01EFB">
            <w:pPr>
              <w:pStyle w:val="1"/>
              <w:widowControl w:val="0"/>
              <w:ind w:left="0" w:firstLine="0"/>
              <w:jc w:val="left"/>
              <w:rPr>
                <w:b/>
                <w:sz w:val="20"/>
              </w:rPr>
            </w:pPr>
            <w:r>
              <w:rPr>
                <w:b/>
                <w:sz w:val="20"/>
              </w:rPr>
              <w:t>Milestone Description</w:t>
            </w:r>
          </w:p>
        </w:tc>
        <w:tc>
          <w:tcPr>
            <w:tcW w:w="1427" w:type="dxa"/>
          </w:tcPr>
          <w:p w14:paraId="6E8C5F95" w14:textId="77777777" w:rsidR="004020B2" w:rsidRPr="008B656F" w:rsidRDefault="004020B2" w:rsidP="00F01EFB">
            <w:pPr>
              <w:pStyle w:val="1"/>
              <w:widowControl w:val="0"/>
              <w:ind w:left="0" w:firstLine="0"/>
              <w:jc w:val="center"/>
              <w:rPr>
                <w:b/>
                <w:sz w:val="20"/>
              </w:rPr>
            </w:pPr>
            <w:r w:rsidRPr="008B656F">
              <w:rPr>
                <w:b/>
                <w:sz w:val="20"/>
              </w:rPr>
              <w:t>Due Date</w:t>
            </w:r>
          </w:p>
        </w:tc>
        <w:tc>
          <w:tcPr>
            <w:tcW w:w="2357" w:type="dxa"/>
          </w:tcPr>
          <w:p w14:paraId="1A3BCF51" w14:textId="77777777" w:rsidR="004020B2" w:rsidRPr="008B656F" w:rsidRDefault="004020B2" w:rsidP="00F01EFB">
            <w:pPr>
              <w:pStyle w:val="1"/>
              <w:widowControl w:val="0"/>
              <w:tabs>
                <w:tab w:val="left" w:pos="1591"/>
              </w:tabs>
              <w:ind w:hanging="1438"/>
              <w:rPr>
                <w:b/>
                <w:sz w:val="20"/>
              </w:rPr>
            </w:pPr>
            <w:r>
              <w:rPr>
                <w:b/>
                <w:sz w:val="20"/>
              </w:rPr>
              <w:t>Payment Amount</w:t>
            </w:r>
          </w:p>
        </w:tc>
      </w:tr>
      <w:tr w:rsidR="004020B2" w14:paraId="6415DC83" w14:textId="77777777" w:rsidTr="00F01EFB">
        <w:trPr>
          <w:cantSplit/>
        </w:trPr>
        <w:tc>
          <w:tcPr>
            <w:tcW w:w="838" w:type="dxa"/>
          </w:tcPr>
          <w:p w14:paraId="56C71D4F" w14:textId="78644CAF" w:rsidR="004020B2" w:rsidRPr="001B7857" w:rsidDel="000D5282" w:rsidRDefault="00D0295E" w:rsidP="00F01EFB">
            <w:pPr>
              <w:pStyle w:val="1"/>
              <w:widowControl w:val="0"/>
              <w:ind w:left="0" w:firstLine="0"/>
              <w:jc w:val="center"/>
              <w:rPr>
                <w:sz w:val="20"/>
              </w:rPr>
            </w:pPr>
            <w:r>
              <w:rPr>
                <w:sz w:val="20"/>
              </w:rPr>
              <w:t>TBD</w:t>
            </w:r>
          </w:p>
        </w:tc>
        <w:tc>
          <w:tcPr>
            <w:tcW w:w="1461" w:type="dxa"/>
          </w:tcPr>
          <w:p w14:paraId="2FBC5291" w14:textId="149BE2B6" w:rsidR="004020B2" w:rsidRPr="00515CE1" w:rsidRDefault="00D0295E" w:rsidP="00F01EFB">
            <w:pPr>
              <w:pStyle w:val="1"/>
              <w:widowControl w:val="0"/>
              <w:ind w:left="0" w:right="166" w:firstLine="0"/>
              <w:jc w:val="center"/>
              <w:rPr>
                <w:color w:val="000000"/>
                <w:sz w:val="20"/>
              </w:rPr>
            </w:pPr>
            <w:r>
              <w:rPr>
                <w:color w:val="000000"/>
                <w:sz w:val="20"/>
              </w:rPr>
              <w:t>TBD</w:t>
            </w:r>
          </w:p>
        </w:tc>
        <w:tc>
          <w:tcPr>
            <w:tcW w:w="3187" w:type="dxa"/>
          </w:tcPr>
          <w:p w14:paraId="66B8499C" w14:textId="5F1DEEA8" w:rsidR="004020B2" w:rsidRPr="00515CE1" w:rsidRDefault="00D0295E" w:rsidP="00F01EFB">
            <w:pPr>
              <w:pStyle w:val="1"/>
              <w:widowControl w:val="0"/>
              <w:ind w:left="0" w:right="166" w:firstLine="0"/>
              <w:jc w:val="left"/>
              <w:rPr>
                <w:sz w:val="20"/>
              </w:rPr>
            </w:pPr>
            <w:r>
              <w:rPr>
                <w:color w:val="000000"/>
                <w:sz w:val="20"/>
              </w:rPr>
              <w:t>TBD</w:t>
            </w:r>
          </w:p>
        </w:tc>
        <w:tc>
          <w:tcPr>
            <w:tcW w:w="1427" w:type="dxa"/>
          </w:tcPr>
          <w:p w14:paraId="041CCF06" w14:textId="3B9E8557" w:rsidR="004020B2" w:rsidRPr="001B7857" w:rsidDel="00477DDC" w:rsidRDefault="00D0295E" w:rsidP="00F01EFB">
            <w:pPr>
              <w:pStyle w:val="1"/>
              <w:widowControl w:val="0"/>
              <w:ind w:left="0" w:right="166" w:firstLine="0"/>
              <w:jc w:val="center"/>
              <w:rPr>
                <w:sz w:val="20"/>
              </w:rPr>
            </w:pPr>
            <w:r>
              <w:rPr>
                <w:sz w:val="20"/>
              </w:rPr>
              <w:t>TBD</w:t>
            </w:r>
          </w:p>
        </w:tc>
        <w:tc>
          <w:tcPr>
            <w:tcW w:w="2357" w:type="dxa"/>
          </w:tcPr>
          <w:p w14:paraId="603ECB9B" w14:textId="40C655E7" w:rsidR="004020B2" w:rsidRPr="001B7857" w:rsidRDefault="004020B2" w:rsidP="00F01EFB">
            <w:pPr>
              <w:pStyle w:val="1"/>
              <w:widowControl w:val="0"/>
              <w:tabs>
                <w:tab w:val="left" w:pos="1591"/>
              </w:tabs>
              <w:ind w:right="166" w:hanging="1438"/>
              <w:jc w:val="right"/>
              <w:rPr>
                <w:sz w:val="20"/>
              </w:rPr>
            </w:pPr>
            <w:r>
              <w:rPr>
                <w:sz w:val="20"/>
              </w:rPr>
              <w:t>$</w:t>
            </w:r>
            <w:r w:rsidR="00D0295E">
              <w:rPr>
                <w:sz w:val="20"/>
              </w:rPr>
              <w:t>TBD</w:t>
            </w:r>
          </w:p>
        </w:tc>
      </w:tr>
      <w:tr w:rsidR="00D0295E" w14:paraId="41635A44" w14:textId="77777777" w:rsidTr="00F01EFB">
        <w:trPr>
          <w:cantSplit/>
        </w:trPr>
        <w:tc>
          <w:tcPr>
            <w:tcW w:w="838" w:type="dxa"/>
          </w:tcPr>
          <w:p w14:paraId="35B97A50" w14:textId="66CE2C42" w:rsidR="00D0295E" w:rsidRPr="001B7857" w:rsidDel="000D5282" w:rsidRDefault="00D0295E" w:rsidP="00D0295E">
            <w:pPr>
              <w:pStyle w:val="1"/>
              <w:widowControl w:val="0"/>
              <w:ind w:left="0" w:firstLine="0"/>
              <w:jc w:val="center"/>
              <w:rPr>
                <w:sz w:val="20"/>
              </w:rPr>
            </w:pPr>
            <w:r>
              <w:rPr>
                <w:sz w:val="20"/>
              </w:rPr>
              <w:t>TBD</w:t>
            </w:r>
          </w:p>
        </w:tc>
        <w:tc>
          <w:tcPr>
            <w:tcW w:w="1461" w:type="dxa"/>
          </w:tcPr>
          <w:p w14:paraId="2796180B" w14:textId="1762FB5F" w:rsidR="00D0295E" w:rsidRPr="00515CE1" w:rsidRDefault="00D0295E" w:rsidP="00D0295E">
            <w:pPr>
              <w:pStyle w:val="1"/>
              <w:widowControl w:val="0"/>
              <w:ind w:left="0" w:right="166" w:firstLine="0"/>
              <w:jc w:val="center"/>
              <w:rPr>
                <w:color w:val="000000"/>
                <w:sz w:val="20"/>
              </w:rPr>
            </w:pPr>
            <w:r>
              <w:rPr>
                <w:color w:val="000000"/>
                <w:sz w:val="20"/>
              </w:rPr>
              <w:t>TBD</w:t>
            </w:r>
          </w:p>
        </w:tc>
        <w:tc>
          <w:tcPr>
            <w:tcW w:w="3187" w:type="dxa"/>
          </w:tcPr>
          <w:p w14:paraId="442534B0" w14:textId="2C91F282" w:rsidR="00D0295E" w:rsidRPr="00515CE1" w:rsidRDefault="00D0295E" w:rsidP="00D0295E">
            <w:pPr>
              <w:pStyle w:val="1"/>
              <w:widowControl w:val="0"/>
              <w:ind w:left="0" w:right="166" w:firstLine="0"/>
              <w:jc w:val="left"/>
              <w:rPr>
                <w:sz w:val="20"/>
              </w:rPr>
            </w:pPr>
            <w:r>
              <w:rPr>
                <w:color w:val="000000"/>
                <w:sz w:val="20"/>
              </w:rPr>
              <w:t>TBD</w:t>
            </w:r>
          </w:p>
        </w:tc>
        <w:tc>
          <w:tcPr>
            <w:tcW w:w="1427" w:type="dxa"/>
          </w:tcPr>
          <w:p w14:paraId="626323D8" w14:textId="0E06885A" w:rsidR="00D0295E" w:rsidRPr="001B7857" w:rsidDel="00477DDC" w:rsidRDefault="00D0295E" w:rsidP="00D0295E">
            <w:pPr>
              <w:pStyle w:val="1"/>
              <w:widowControl w:val="0"/>
              <w:ind w:left="0" w:right="166" w:firstLine="0"/>
              <w:jc w:val="center"/>
              <w:rPr>
                <w:sz w:val="20"/>
              </w:rPr>
            </w:pPr>
            <w:r>
              <w:rPr>
                <w:sz w:val="20"/>
              </w:rPr>
              <w:t>TBD</w:t>
            </w:r>
          </w:p>
        </w:tc>
        <w:tc>
          <w:tcPr>
            <w:tcW w:w="2357" w:type="dxa"/>
          </w:tcPr>
          <w:p w14:paraId="1063027E" w14:textId="2581932C" w:rsidR="00D0295E" w:rsidRPr="001B7857" w:rsidRDefault="00D0295E" w:rsidP="00D0295E">
            <w:pPr>
              <w:pStyle w:val="1"/>
              <w:widowControl w:val="0"/>
              <w:tabs>
                <w:tab w:val="left" w:pos="1591"/>
              </w:tabs>
              <w:ind w:right="166" w:hanging="1438"/>
              <w:jc w:val="right"/>
              <w:rPr>
                <w:sz w:val="20"/>
              </w:rPr>
            </w:pPr>
            <w:r>
              <w:rPr>
                <w:sz w:val="20"/>
              </w:rPr>
              <w:t>$TBD</w:t>
            </w:r>
          </w:p>
        </w:tc>
      </w:tr>
      <w:tr w:rsidR="00D0295E" w14:paraId="18141C34" w14:textId="77777777" w:rsidTr="00F01EFB">
        <w:trPr>
          <w:cantSplit/>
        </w:trPr>
        <w:tc>
          <w:tcPr>
            <w:tcW w:w="838" w:type="dxa"/>
          </w:tcPr>
          <w:p w14:paraId="1B8AA8EA" w14:textId="1D06AB2C" w:rsidR="00D0295E" w:rsidRPr="001B7857" w:rsidDel="000D5282" w:rsidRDefault="00D0295E" w:rsidP="00D0295E">
            <w:pPr>
              <w:pStyle w:val="1"/>
              <w:widowControl w:val="0"/>
              <w:ind w:left="0" w:firstLine="0"/>
              <w:jc w:val="center"/>
              <w:rPr>
                <w:sz w:val="20"/>
              </w:rPr>
            </w:pPr>
            <w:r>
              <w:rPr>
                <w:sz w:val="20"/>
              </w:rPr>
              <w:t>TBD</w:t>
            </w:r>
          </w:p>
        </w:tc>
        <w:tc>
          <w:tcPr>
            <w:tcW w:w="1461" w:type="dxa"/>
          </w:tcPr>
          <w:p w14:paraId="317ED40D" w14:textId="1BC36B43" w:rsidR="00D0295E" w:rsidRPr="00515CE1" w:rsidRDefault="00D0295E" w:rsidP="00D0295E">
            <w:pPr>
              <w:pStyle w:val="1"/>
              <w:widowControl w:val="0"/>
              <w:ind w:left="0" w:right="166" w:firstLine="0"/>
              <w:jc w:val="center"/>
              <w:rPr>
                <w:color w:val="000000"/>
                <w:sz w:val="20"/>
              </w:rPr>
            </w:pPr>
            <w:r>
              <w:rPr>
                <w:color w:val="000000"/>
                <w:sz w:val="20"/>
              </w:rPr>
              <w:t>TBD</w:t>
            </w:r>
          </w:p>
        </w:tc>
        <w:tc>
          <w:tcPr>
            <w:tcW w:w="3187" w:type="dxa"/>
          </w:tcPr>
          <w:p w14:paraId="6999D5A8" w14:textId="3DAAE467" w:rsidR="00D0295E" w:rsidRPr="00515CE1" w:rsidRDefault="00D0295E" w:rsidP="00D0295E">
            <w:pPr>
              <w:pStyle w:val="1"/>
              <w:widowControl w:val="0"/>
              <w:ind w:left="0" w:right="166" w:firstLine="0"/>
              <w:jc w:val="left"/>
              <w:rPr>
                <w:sz w:val="20"/>
              </w:rPr>
            </w:pPr>
            <w:r>
              <w:rPr>
                <w:color w:val="000000"/>
                <w:sz w:val="20"/>
              </w:rPr>
              <w:t>TBD</w:t>
            </w:r>
          </w:p>
        </w:tc>
        <w:tc>
          <w:tcPr>
            <w:tcW w:w="1427" w:type="dxa"/>
          </w:tcPr>
          <w:p w14:paraId="4DA66D31" w14:textId="59553768" w:rsidR="00D0295E" w:rsidRPr="001B7857" w:rsidDel="00477DDC" w:rsidRDefault="00D0295E" w:rsidP="00D0295E">
            <w:pPr>
              <w:pStyle w:val="1"/>
              <w:widowControl w:val="0"/>
              <w:ind w:left="0" w:right="166" w:firstLine="0"/>
              <w:jc w:val="center"/>
              <w:rPr>
                <w:sz w:val="20"/>
              </w:rPr>
            </w:pPr>
            <w:r>
              <w:rPr>
                <w:sz w:val="20"/>
              </w:rPr>
              <w:t>TBD</w:t>
            </w:r>
          </w:p>
        </w:tc>
        <w:tc>
          <w:tcPr>
            <w:tcW w:w="2357" w:type="dxa"/>
          </w:tcPr>
          <w:p w14:paraId="04B7BE81" w14:textId="434DE93F" w:rsidR="00D0295E" w:rsidRPr="001B7857" w:rsidRDefault="00D0295E" w:rsidP="00D0295E">
            <w:pPr>
              <w:pStyle w:val="1"/>
              <w:widowControl w:val="0"/>
              <w:tabs>
                <w:tab w:val="left" w:pos="1591"/>
              </w:tabs>
              <w:ind w:right="166" w:hanging="1438"/>
              <w:jc w:val="right"/>
              <w:rPr>
                <w:sz w:val="20"/>
              </w:rPr>
            </w:pPr>
            <w:r>
              <w:rPr>
                <w:sz w:val="20"/>
              </w:rPr>
              <w:t>$TBD</w:t>
            </w:r>
          </w:p>
        </w:tc>
      </w:tr>
      <w:tr w:rsidR="004020B2" w14:paraId="4F874372" w14:textId="77777777" w:rsidTr="00F01EFB">
        <w:trPr>
          <w:cantSplit/>
        </w:trPr>
        <w:tc>
          <w:tcPr>
            <w:tcW w:w="6913" w:type="dxa"/>
            <w:gridSpan w:val="4"/>
          </w:tcPr>
          <w:p w14:paraId="7A7DFC21" w14:textId="77777777" w:rsidR="004020B2" w:rsidRPr="00515CE1" w:rsidRDefault="004020B2" w:rsidP="00F01EFB">
            <w:pPr>
              <w:pStyle w:val="1"/>
              <w:widowControl w:val="0"/>
              <w:ind w:left="0" w:right="166" w:firstLine="0"/>
              <w:jc w:val="right"/>
              <w:rPr>
                <w:sz w:val="20"/>
              </w:rPr>
            </w:pPr>
            <w:r w:rsidRPr="00515CE1">
              <w:rPr>
                <w:sz w:val="20"/>
              </w:rPr>
              <w:t>All Options Total</w:t>
            </w:r>
          </w:p>
        </w:tc>
        <w:tc>
          <w:tcPr>
            <w:tcW w:w="2357" w:type="dxa"/>
          </w:tcPr>
          <w:p w14:paraId="4E3E8529" w14:textId="1185D85A" w:rsidR="004020B2" w:rsidRPr="00515CE1" w:rsidRDefault="004020B2" w:rsidP="00F01EFB">
            <w:pPr>
              <w:pStyle w:val="1"/>
              <w:widowControl w:val="0"/>
              <w:tabs>
                <w:tab w:val="left" w:pos="1591"/>
              </w:tabs>
              <w:ind w:right="166" w:hanging="1438"/>
              <w:jc w:val="right"/>
              <w:rPr>
                <w:sz w:val="20"/>
              </w:rPr>
            </w:pPr>
            <w:r w:rsidRPr="00515CE1">
              <w:rPr>
                <w:sz w:val="20"/>
              </w:rPr>
              <w:t>$</w:t>
            </w:r>
            <w:r w:rsidR="00D0295E">
              <w:rPr>
                <w:sz w:val="20"/>
              </w:rPr>
              <w:t>TBD</w:t>
            </w:r>
          </w:p>
        </w:tc>
      </w:tr>
    </w:tbl>
    <w:p w14:paraId="1333462E" w14:textId="77777777" w:rsidR="004020B2" w:rsidRDefault="004020B2" w:rsidP="004020B2">
      <w:pPr>
        <w:pStyle w:val="ATextChar"/>
        <w:widowControl w:val="0"/>
        <w:ind w:left="0" w:firstLine="0"/>
      </w:pPr>
    </w:p>
    <w:p w14:paraId="31181D6A" w14:textId="77777777" w:rsidR="004020B2" w:rsidRPr="005A2F83" w:rsidRDefault="004020B2" w:rsidP="004020B2">
      <w:pPr>
        <w:pStyle w:val="1"/>
        <w:widowControl w:val="0"/>
        <w:ind w:left="720"/>
      </w:pPr>
      <w:r>
        <w:t xml:space="preserve">B. </w:t>
      </w:r>
      <w:r>
        <w:tab/>
      </w:r>
      <w:r w:rsidRPr="005A2F83">
        <w:t xml:space="preserve">LLNS may </w:t>
      </w:r>
      <w:r>
        <w:t xml:space="preserve">unilaterally </w:t>
      </w:r>
      <w:r w:rsidRPr="005A2F83">
        <w:t>exercise its options on or before the following dates.</w:t>
      </w:r>
    </w:p>
    <w:p w14:paraId="052D4906" w14:textId="77777777" w:rsidR="004020B2" w:rsidRPr="005A2F83" w:rsidRDefault="004020B2" w:rsidP="004020B2">
      <w:pPr>
        <w:pStyle w:val="ATextChar"/>
        <w:widowControl w:val="0"/>
        <w:ind w:left="1440"/>
      </w:pPr>
    </w:p>
    <w:tbl>
      <w:tblPr>
        <w:tblStyle w:val="TableGrid"/>
        <w:tblW w:w="4140" w:type="dxa"/>
        <w:tblInd w:w="2988" w:type="dxa"/>
        <w:tblLook w:val="01E0" w:firstRow="1" w:lastRow="1" w:firstColumn="1" w:lastColumn="1" w:noHBand="0" w:noVBand="0"/>
      </w:tblPr>
      <w:tblGrid>
        <w:gridCol w:w="1260"/>
        <w:gridCol w:w="2880"/>
      </w:tblGrid>
      <w:tr w:rsidR="004020B2" w:rsidRPr="005A2F83" w14:paraId="44337846" w14:textId="77777777" w:rsidTr="00F01EFB">
        <w:trPr>
          <w:tblHeader/>
        </w:trPr>
        <w:tc>
          <w:tcPr>
            <w:tcW w:w="1260" w:type="dxa"/>
          </w:tcPr>
          <w:p w14:paraId="355712AB" w14:textId="77777777" w:rsidR="004020B2" w:rsidRPr="005A2F83" w:rsidRDefault="004020B2" w:rsidP="00F01EFB">
            <w:pPr>
              <w:pStyle w:val="ATextChar"/>
              <w:widowControl w:val="0"/>
              <w:ind w:left="0" w:firstLine="0"/>
              <w:rPr>
                <w:b/>
                <w:sz w:val="20"/>
              </w:rPr>
            </w:pPr>
            <w:r w:rsidRPr="005A2F83">
              <w:rPr>
                <w:b/>
                <w:sz w:val="20"/>
              </w:rPr>
              <w:t>Option No.</w:t>
            </w:r>
          </w:p>
        </w:tc>
        <w:tc>
          <w:tcPr>
            <w:tcW w:w="2880" w:type="dxa"/>
          </w:tcPr>
          <w:p w14:paraId="6873F965" w14:textId="77777777" w:rsidR="004020B2" w:rsidRPr="005A2F83" w:rsidRDefault="004020B2" w:rsidP="00F01EFB">
            <w:pPr>
              <w:pStyle w:val="ATextChar"/>
              <w:widowControl w:val="0"/>
              <w:ind w:left="0" w:firstLine="0"/>
              <w:rPr>
                <w:b/>
                <w:sz w:val="20"/>
              </w:rPr>
            </w:pPr>
            <w:r w:rsidRPr="005A2F83">
              <w:rPr>
                <w:b/>
                <w:sz w:val="20"/>
              </w:rPr>
              <w:t>Option Expiration Date</w:t>
            </w:r>
          </w:p>
        </w:tc>
      </w:tr>
      <w:tr w:rsidR="00D0295E" w:rsidRPr="005A2F83" w14:paraId="0A8D6E18" w14:textId="77777777" w:rsidTr="00F01EFB">
        <w:tc>
          <w:tcPr>
            <w:tcW w:w="1260" w:type="dxa"/>
          </w:tcPr>
          <w:p w14:paraId="0599F471" w14:textId="63BD8450" w:rsidR="00D0295E" w:rsidRPr="005A2F83" w:rsidRDefault="00D0295E" w:rsidP="00D0295E">
            <w:pPr>
              <w:pStyle w:val="1"/>
              <w:widowControl w:val="0"/>
              <w:ind w:left="0" w:firstLine="0"/>
              <w:jc w:val="center"/>
              <w:rPr>
                <w:sz w:val="20"/>
              </w:rPr>
            </w:pPr>
            <w:r>
              <w:rPr>
                <w:sz w:val="20"/>
              </w:rPr>
              <w:t>TBD</w:t>
            </w:r>
          </w:p>
        </w:tc>
        <w:tc>
          <w:tcPr>
            <w:tcW w:w="2880" w:type="dxa"/>
          </w:tcPr>
          <w:p w14:paraId="77CCE581" w14:textId="379A7799" w:rsidR="00D0295E" w:rsidRPr="003C0930" w:rsidRDefault="00D0295E" w:rsidP="00D0295E">
            <w:pPr>
              <w:widowControl w:val="0"/>
              <w:jc w:val="center"/>
              <w:rPr>
                <w:sz w:val="20"/>
              </w:rPr>
            </w:pPr>
            <w:r w:rsidRPr="00320C37">
              <w:rPr>
                <w:sz w:val="20"/>
              </w:rPr>
              <w:t>TBD</w:t>
            </w:r>
          </w:p>
        </w:tc>
      </w:tr>
      <w:tr w:rsidR="00D0295E" w:rsidRPr="005A2F83" w14:paraId="4BB47371" w14:textId="77777777" w:rsidTr="00F01EFB">
        <w:tc>
          <w:tcPr>
            <w:tcW w:w="1260" w:type="dxa"/>
          </w:tcPr>
          <w:p w14:paraId="6EC5354E" w14:textId="76852B43" w:rsidR="00D0295E" w:rsidRPr="005A2F83" w:rsidRDefault="00D0295E" w:rsidP="00D0295E">
            <w:pPr>
              <w:pStyle w:val="1"/>
              <w:widowControl w:val="0"/>
              <w:ind w:left="0" w:firstLine="0"/>
              <w:jc w:val="center"/>
              <w:rPr>
                <w:sz w:val="20"/>
              </w:rPr>
            </w:pPr>
            <w:r w:rsidRPr="00725AAC">
              <w:rPr>
                <w:sz w:val="20"/>
              </w:rPr>
              <w:t>TBD</w:t>
            </w:r>
          </w:p>
        </w:tc>
        <w:tc>
          <w:tcPr>
            <w:tcW w:w="2880" w:type="dxa"/>
          </w:tcPr>
          <w:p w14:paraId="36934B17" w14:textId="3E30E44A" w:rsidR="00D0295E" w:rsidRPr="003C0930" w:rsidRDefault="00D0295E" w:rsidP="00D0295E">
            <w:pPr>
              <w:widowControl w:val="0"/>
              <w:jc w:val="center"/>
              <w:rPr>
                <w:sz w:val="20"/>
              </w:rPr>
            </w:pPr>
            <w:r w:rsidRPr="00320C37">
              <w:rPr>
                <w:sz w:val="20"/>
              </w:rPr>
              <w:t>TBD</w:t>
            </w:r>
          </w:p>
        </w:tc>
      </w:tr>
      <w:tr w:rsidR="00D0295E" w:rsidRPr="005A2F83" w14:paraId="0CD0608D" w14:textId="77777777" w:rsidTr="00F01EFB">
        <w:tc>
          <w:tcPr>
            <w:tcW w:w="1260" w:type="dxa"/>
          </w:tcPr>
          <w:p w14:paraId="64BD97D5" w14:textId="517554D0" w:rsidR="00D0295E" w:rsidRPr="005A2F83" w:rsidRDefault="00D0295E" w:rsidP="00D0295E">
            <w:pPr>
              <w:pStyle w:val="1"/>
              <w:widowControl w:val="0"/>
              <w:ind w:left="0" w:firstLine="0"/>
              <w:jc w:val="center"/>
              <w:rPr>
                <w:sz w:val="20"/>
              </w:rPr>
            </w:pPr>
            <w:r w:rsidRPr="00725AAC">
              <w:rPr>
                <w:sz w:val="20"/>
              </w:rPr>
              <w:t>TBD</w:t>
            </w:r>
          </w:p>
        </w:tc>
        <w:tc>
          <w:tcPr>
            <w:tcW w:w="2880" w:type="dxa"/>
          </w:tcPr>
          <w:p w14:paraId="5A29B34C" w14:textId="0B4866D4" w:rsidR="00D0295E" w:rsidRPr="003C0930" w:rsidRDefault="00D0295E" w:rsidP="00D0295E">
            <w:pPr>
              <w:widowControl w:val="0"/>
              <w:jc w:val="center"/>
              <w:rPr>
                <w:sz w:val="20"/>
              </w:rPr>
            </w:pPr>
            <w:r w:rsidRPr="00320C37">
              <w:rPr>
                <w:sz w:val="20"/>
              </w:rPr>
              <w:t>TBD</w:t>
            </w:r>
          </w:p>
        </w:tc>
      </w:tr>
    </w:tbl>
    <w:p w14:paraId="6658BCE1" w14:textId="77777777" w:rsidR="004020B2" w:rsidRDefault="004020B2" w:rsidP="004020B2">
      <w:pPr>
        <w:pStyle w:val="ATextChar"/>
        <w:widowControl w:val="0"/>
      </w:pPr>
    </w:p>
    <w:p w14:paraId="353B64E4" w14:textId="16BFB85F" w:rsidR="004020B2" w:rsidRPr="00E772A6" w:rsidRDefault="004020B2" w:rsidP="004020B2">
      <w:pPr>
        <w:pStyle w:val="A"/>
        <w:keepNext w:val="0"/>
        <w:widowControl w:val="0"/>
      </w:pPr>
      <w:r>
        <w:t xml:space="preserve">C. </w:t>
      </w:r>
      <w:r>
        <w:tab/>
      </w:r>
      <w:r w:rsidRPr="005A2F83">
        <w:t xml:space="preserve">The total fixed price of this Subcontract </w:t>
      </w:r>
      <w:r>
        <w:t xml:space="preserve">with all </w:t>
      </w:r>
      <w:r w:rsidRPr="00E772A6">
        <w:t xml:space="preserve">options is </w:t>
      </w:r>
      <w:r w:rsidRPr="00515CE1">
        <w:t>$</w:t>
      </w:r>
      <w:r w:rsidR="00D0295E">
        <w:t>TBD</w:t>
      </w:r>
      <w:r w:rsidRPr="00E772A6">
        <w:t xml:space="preserve">.  </w:t>
      </w:r>
    </w:p>
    <w:p w14:paraId="464BCDCA" w14:textId="77777777" w:rsidR="00CE1AA5" w:rsidRPr="00A935B8" w:rsidRDefault="00CE1AA5" w:rsidP="00450D91">
      <w:pPr>
        <w:rPr>
          <w:highlight w:val="yellow"/>
        </w:rPr>
      </w:pPr>
    </w:p>
    <w:p w14:paraId="65229646" w14:textId="77777777" w:rsidR="00CE1AA5" w:rsidRPr="00BB3AD3" w:rsidRDefault="00CE1AA5" w:rsidP="00683387">
      <w:pPr>
        <w:pStyle w:val="ArticleHeader"/>
      </w:pPr>
      <w:r w:rsidRPr="00BB3AD3">
        <w:t>INVOICES AND PAYMENT</w:t>
      </w:r>
    </w:p>
    <w:p w14:paraId="7AEBD7BD" w14:textId="77777777" w:rsidR="00CE1AA5" w:rsidRDefault="00CE1AA5" w:rsidP="00450D91">
      <w:pPr>
        <w:pStyle w:val="ArticleParagraph-A"/>
        <w:keepNext/>
        <w:rPr>
          <w:noProof/>
        </w:rPr>
      </w:pPr>
    </w:p>
    <w:p w14:paraId="44C06578" w14:textId="77777777" w:rsidR="00CE1AA5" w:rsidRPr="00BB3AD3" w:rsidRDefault="00CE1AA5" w:rsidP="00450D91">
      <w:pPr>
        <w:pStyle w:val="ArticleParagraph-A"/>
        <w:keepNext/>
        <w:rPr>
          <w:noProof/>
        </w:rPr>
      </w:pPr>
      <w:r w:rsidRPr="00BB3AD3">
        <w:rPr>
          <w:noProof/>
        </w:rPr>
        <w:t>A.</w:t>
      </w:r>
      <w:r w:rsidRPr="00BB3AD3">
        <w:rPr>
          <w:noProof/>
        </w:rPr>
        <w:tab/>
        <w:t>Invoices and Milestone Payments</w:t>
      </w:r>
    </w:p>
    <w:p w14:paraId="24019785" w14:textId="77777777" w:rsidR="00CE1AA5" w:rsidRPr="00BB3AD3" w:rsidRDefault="00CE1AA5" w:rsidP="00450D91">
      <w:pPr>
        <w:keepNext/>
        <w:rPr>
          <w:noProof/>
        </w:rPr>
      </w:pPr>
    </w:p>
    <w:p w14:paraId="1425976E" w14:textId="77777777" w:rsidR="00137477" w:rsidRPr="00CD27AA" w:rsidRDefault="00137477" w:rsidP="00137477">
      <w:pPr>
        <w:pStyle w:val="Table12Point"/>
        <w:keepNext/>
        <w:tabs>
          <w:tab w:val="left" w:pos="5670"/>
        </w:tabs>
        <w:ind w:left="720"/>
        <w:jc w:val="both"/>
      </w:pPr>
      <w:r w:rsidRPr="00CD27AA">
        <w:t xml:space="preserve">The Subcontractor shall reference the Subcontract number on all invoices, which shall include a detailed statement of the milestone(s) achieved.  The Subcontractor shall submit its invoice electronically by E-Mail, upon completion of the milestone(s), to </w:t>
      </w:r>
      <w:r>
        <w:t>the LLNS Contract Analyst</w:t>
      </w:r>
      <w:r w:rsidRPr="00CD27AA">
        <w:t xml:space="preserve"> at:  </w:t>
      </w:r>
      <w:hyperlink r:id="rId16" w:history="1">
        <w:r w:rsidRPr="00F117DC">
          <w:rPr>
            <w:rStyle w:val="Hyperlink"/>
          </w:rPr>
          <w:t>ward31@llnl.gov</w:t>
        </w:r>
      </w:hyperlink>
      <w:r>
        <w:t xml:space="preserve"> </w:t>
      </w:r>
      <w:r w:rsidRPr="00CD27AA">
        <w:t>.</w:t>
      </w:r>
    </w:p>
    <w:p w14:paraId="012F2052" w14:textId="77777777" w:rsidR="00137477" w:rsidRPr="00CD27AA" w:rsidRDefault="00137477" w:rsidP="00137477">
      <w:pPr>
        <w:pStyle w:val="Table12Point"/>
        <w:keepNext/>
        <w:ind w:left="720"/>
      </w:pPr>
    </w:p>
    <w:p w14:paraId="07F7969A" w14:textId="77777777" w:rsidR="00137477" w:rsidRDefault="00137477" w:rsidP="00137477">
      <w:pPr>
        <w:pStyle w:val="1"/>
        <w:ind w:left="720" w:firstLine="0"/>
      </w:pPr>
      <w:r w:rsidRPr="00CD27AA">
        <w:t xml:space="preserve">LLNS will verify completion of each milestone.  Title to deliverable items or deliverable portions thereof shall vest in the Government immediately upon the date of the milestone </w:t>
      </w:r>
      <w:r>
        <w:t>acceptance</w:t>
      </w:r>
      <w:r w:rsidRPr="00CD27AA">
        <w:t>.</w:t>
      </w:r>
    </w:p>
    <w:p w14:paraId="405936E3" w14:textId="77777777" w:rsidR="00137477" w:rsidRDefault="00137477" w:rsidP="00137477">
      <w:pPr>
        <w:pStyle w:val="1"/>
        <w:ind w:left="720" w:firstLine="0"/>
      </w:pPr>
    </w:p>
    <w:p w14:paraId="399B767F" w14:textId="77777777" w:rsidR="00137477" w:rsidRDefault="00137477" w:rsidP="00137477">
      <w:pPr>
        <w:keepNext/>
        <w:ind w:left="720"/>
        <w:rPr>
          <w:color w:val="0000FF"/>
        </w:rPr>
      </w:pPr>
      <w:r w:rsidRPr="00785167">
        <w:rPr>
          <w:color w:val="000000" w:themeColor="text1"/>
        </w:rPr>
        <w:lastRenderedPageBreak/>
        <w:t xml:space="preserve">Payment status inquiries should be directed to the LLNL Accounts Payable PO Payment Inquiry website at:  </w:t>
      </w:r>
      <w:hyperlink r:id="rId17" w:history="1">
        <w:r w:rsidRPr="00043060">
          <w:rPr>
            <w:rStyle w:val="Hyperlink"/>
          </w:rPr>
          <w:t>https://vipir.llnl.gov/vipir</w:t>
        </w:r>
      </w:hyperlink>
    </w:p>
    <w:p w14:paraId="1C1DC7FF" w14:textId="77777777" w:rsidR="00137477" w:rsidRDefault="00137477" w:rsidP="00137477">
      <w:pPr>
        <w:keepNext/>
        <w:ind w:left="720"/>
      </w:pPr>
    </w:p>
    <w:p w14:paraId="3D8E3DA8" w14:textId="77777777" w:rsidR="00137477" w:rsidRPr="005C00B8" w:rsidRDefault="00137477" w:rsidP="00137477">
      <w:pPr>
        <w:pStyle w:val="Table12Point"/>
        <w:keepNext/>
        <w:ind w:left="720"/>
      </w:pPr>
      <w:r w:rsidRPr="005C00B8">
        <w:t xml:space="preserve">Invoice questions should be directed to the </w:t>
      </w:r>
      <w:r>
        <w:t xml:space="preserve">LLNS Contract Analyst at: </w:t>
      </w:r>
      <w:hyperlink r:id="rId18" w:history="1">
        <w:r w:rsidRPr="00E34952">
          <w:rPr>
            <w:rStyle w:val="Hyperlink"/>
          </w:rPr>
          <w:t>ward31@llnl.gov</w:t>
        </w:r>
      </w:hyperlink>
      <w:r>
        <w:t xml:space="preserve"> </w:t>
      </w:r>
    </w:p>
    <w:p w14:paraId="3805F029" w14:textId="77777777" w:rsidR="00CE1AA5" w:rsidRDefault="00CE1AA5" w:rsidP="00B95279">
      <w:pPr>
        <w:keepNext/>
        <w:rPr>
          <w:noProof/>
          <w:szCs w:val="24"/>
        </w:rPr>
      </w:pPr>
    </w:p>
    <w:p w14:paraId="56DB29F0" w14:textId="77777777" w:rsidR="00CE1AA5" w:rsidRPr="004E0E0F" w:rsidRDefault="00CE1AA5" w:rsidP="00B95279">
      <w:pPr>
        <w:pStyle w:val="ArticleParagraph-A"/>
        <w:keepNext/>
        <w:rPr>
          <w:highlight w:val="yellow"/>
        </w:rPr>
      </w:pPr>
      <w:r>
        <w:rPr>
          <w:noProof/>
        </w:rPr>
        <w:t>B.</w:t>
      </w:r>
      <w:r>
        <w:rPr>
          <w:noProof/>
        </w:rPr>
        <w:tab/>
      </w:r>
      <w:r w:rsidRPr="003C0881">
        <w:t>Payment Terms</w:t>
      </w:r>
    </w:p>
    <w:p w14:paraId="30E4BC3F" w14:textId="77777777" w:rsidR="00CE1AA5" w:rsidRPr="003C0881" w:rsidRDefault="00CE1AA5" w:rsidP="00450D91">
      <w:pPr>
        <w:keepNext/>
      </w:pPr>
    </w:p>
    <w:p w14:paraId="5216917B" w14:textId="77777777" w:rsidR="00CE1AA5" w:rsidRPr="003C0881" w:rsidRDefault="00CE1AA5" w:rsidP="00450D91">
      <w:pPr>
        <w:pStyle w:val="ArticleParagraph-Asub"/>
      </w:pPr>
      <w:r w:rsidRPr="003C0881">
        <w:t xml:space="preserve">The terms of payment shall be </w:t>
      </w:r>
      <w:r>
        <w:rPr>
          <w:noProof/>
        </w:rPr>
        <w:t>Net 30 Days</w:t>
      </w:r>
      <w:r>
        <w:t xml:space="preserve"> </w:t>
      </w:r>
      <w:r w:rsidRPr="003C0881">
        <w:t>after receipt of a proper invoice.  Payment amounts shall be less any applicable adjustments, credits, offsets, or tax withholds.  Payment on an invoice shall not constitute final acceptance of the related performance.</w:t>
      </w:r>
    </w:p>
    <w:p w14:paraId="46D7F84B" w14:textId="77777777" w:rsidR="00CE1AA5" w:rsidRDefault="00CE1AA5" w:rsidP="006A0E36">
      <w:pPr>
        <w:keepNext/>
        <w:rPr>
          <w:noProof/>
          <w:szCs w:val="24"/>
        </w:rPr>
      </w:pPr>
    </w:p>
    <w:p w14:paraId="665D4291" w14:textId="77777777" w:rsidR="00CE1AA5" w:rsidRPr="006D7567" w:rsidRDefault="00CE1AA5" w:rsidP="006A0E36">
      <w:pPr>
        <w:pStyle w:val="ArticleParagraph-A"/>
        <w:keepNext/>
        <w:rPr>
          <w:noProof/>
        </w:rPr>
      </w:pPr>
      <w:r>
        <w:rPr>
          <w:noProof/>
        </w:rPr>
        <w:t>C.</w:t>
      </w:r>
      <w:r>
        <w:rPr>
          <w:noProof/>
        </w:rPr>
        <w:tab/>
      </w:r>
      <w:r w:rsidRPr="006D7567">
        <w:rPr>
          <w:noProof/>
        </w:rPr>
        <w:t>Federal and State Reporting and Withholding Requirements</w:t>
      </w:r>
    </w:p>
    <w:p w14:paraId="22CF8F0B" w14:textId="77777777" w:rsidR="00CE1AA5" w:rsidRPr="006D7567" w:rsidRDefault="00CE1AA5" w:rsidP="00450D91">
      <w:pPr>
        <w:keepNext/>
        <w:rPr>
          <w:noProof/>
        </w:rPr>
      </w:pPr>
    </w:p>
    <w:p w14:paraId="0FAF4EB9" w14:textId="77777777" w:rsidR="00CE1AA5" w:rsidRPr="006D7567" w:rsidRDefault="00CE1AA5" w:rsidP="00450D91">
      <w:pPr>
        <w:pStyle w:val="ArticleParagraph-Asub"/>
        <w:rPr>
          <w:noProof/>
        </w:rPr>
      </w:pPr>
      <w:r w:rsidRPr="006D7567">
        <w:rPr>
          <w:noProof/>
        </w:rPr>
        <w:t>LLNS is required to report</w:t>
      </w:r>
      <w:r>
        <w:rPr>
          <w:noProof/>
        </w:rPr>
        <w:t xml:space="preserve"> </w:t>
      </w:r>
      <w:r w:rsidRPr="00A82BE0">
        <w:rPr>
          <w:noProof/>
        </w:rPr>
        <w:t xml:space="preserve">income </w:t>
      </w:r>
      <w:r w:rsidRPr="006D7567">
        <w:rPr>
          <w:noProof/>
        </w:rPr>
        <w:t>and withhold income</w:t>
      </w:r>
      <w:r>
        <w:rPr>
          <w:noProof/>
        </w:rPr>
        <w:t xml:space="preserve"> </w:t>
      </w:r>
      <w:r w:rsidRPr="00A82BE0">
        <w:rPr>
          <w:noProof/>
        </w:rPr>
        <w:t>tax</w:t>
      </w:r>
      <w:r w:rsidRPr="006D7567">
        <w:rPr>
          <w:noProof/>
        </w:rPr>
        <w:t>, as may be applicable, on payments for services</w:t>
      </w:r>
      <w:r>
        <w:rPr>
          <w:noProof/>
        </w:rPr>
        <w:t xml:space="preserve"> </w:t>
      </w:r>
      <w:r w:rsidRPr="00945080">
        <w:rPr>
          <w:noProof/>
          <w:color w:val="000000" w:themeColor="text1"/>
        </w:rPr>
        <w:t xml:space="preserve">(e.g., labor, travel, etc.) </w:t>
      </w:r>
      <w:r w:rsidRPr="006D7567">
        <w:rPr>
          <w:noProof/>
        </w:rPr>
        <w:t xml:space="preserve">performed for LLNS.  LLNS must, therefore, request certain certifications, exemption / classification status, and other tax related information via tax forms.  Depending on your exemption status, </w:t>
      </w:r>
      <w:r w:rsidRPr="00A82BE0">
        <w:rPr>
          <w:noProof/>
        </w:rPr>
        <w:t xml:space="preserve">income tax </w:t>
      </w:r>
      <w:r w:rsidRPr="006D7567">
        <w:rPr>
          <w:noProof/>
        </w:rPr>
        <w:t>withholding may apply.</w:t>
      </w:r>
    </w:p>
    <w:p w14:paraId="536BCBC0" w14:textId="77777777" w:rsidR="00CE1AA5" w:rsidRPr="006D7567" w:rsidRDefault="00CE1AA5" w:rsidP="00450D91">
      <w:pPr>
        <w:pStyle w:val="ArticleParagraph-Asub"/>
        <w:rPr>
          <w:noProof/>
        </w:rPr>
      </w:pPr>
    </w:p>
    <w:p w14:paraId="69745598" w14:textId="77777777" w:rsidR="00CE1AA5" w:rsidRPr="006D7567" w:rsidRDefault="00CE1AA5" w:rsidP="00450D91">
      <w:pPr>
        <w:pStyle w:val="ArticleParagraph-Asub"/>
        <w:rPr>
          <w:noProof/>
        </w:rPr>
      </w:pPr>
      <w:r w:rsidRPr="006D7567">
        <w:rPr>
          <w:noProof/>
        </w:rPr>
        <w:t xml:space="preserve">LLNS requires </w:t>
      </w:r>
      <w:r w:rsidRPr="006D7567">
        <w:rPr>
          <w:noProof/>
          <w:u w:val="single"/>
        </w:rPr>
        <w:t>both</w:t>
      </w:r>
      <w:r w:rsidRPr="006D7567">
        <w:rPr>
          <w:noProof/>
        </w:rPr>
        <w:t xml:space="preserve"> a Federal (W-9 or W-8BEN</w:t>
      </w:r>
      <w:r w:rsidRPr="000A39EC">
        <w:rPr>
          <w:noProof/>
        </w:rPr>
        <w:t>-E</w:t>
      </w:r>
      <w:r w:rsidRPr="006D7567">
        <w:rPr>
          <w:noProof/>
        </w:rPr>
        <w:t xml:space="preserve">) and California State (587 or 590) tax form to be on file prior to issuing the initial invoice under this Subcontract.  (NOTE:  California Form 587, if applicable, is required for each and every Subcontract.)  Links to the Federal and State Tax Forms websites are available on-line at the following website: https://supplychain.llnl.gov/ (under Supplier Information, General Provisions &amp; Forms).  Tax forms shall be sent to LLNS Accounts Payable Tax Group, by E-Mail at:  AP-tax@llnl.gov; by mail to:  P.O. Box 5001, L-435, Livermore, CA  94551; or by Fax to:  (925) 422-0310.  Please reference </w:t>
      </w:r>
      <w:r w:rsidRPr="00B63888">
        <w:rPr>
          <w:noProof/>
        </w:rPr>
        <w:t>B644990</w:t>
      </w:r>
      <w:r>
        <w:rPr>
          <w:noProof/>
        </w:rPr>
        <w:t xml:space="preserve"> </w:t>
      </w:r>
      <w:r w:rsidRPr="006D7567">
        <w:rPr>
          <w:noProof/>
        </w:rPr>
        <w:t>on all correspondence.</w:t>
      </w:r>
    </w:p>
    <w:p w14:paraId="2F04A80C" w14:textId="77777777" w:rsidR="00CE1AA5" w:rsidRPr="006D7567" w:rsidRDefault="00CE1AA5" w:rsidP="00450D91">
      <w:pPr>
        <w:pStyle w:val="ArticleParagraph-Asub"/>
        <w:rPr>
          <w:noProof/>
        </w:rPr>
      </w:pPr>
    </w:p>
    <w:p w14:paraId="60AFA98D" w14:textId="77777777" w:rsidR="00CE1AA5" w:rsidRPr="006D7567" w:rsidRDefault="00CE1AA5" w:rsidP="00450D91">
      <w:pPr>
        <w:pStyle w:val="ArticleParagraph-Asub"/>
        <w:rPr>
          <w:noProof/>
        </w:rPr>
      </w:pPr>
      <w:r w:rsidRPr="006D7567">
        <w:rPr>
          <w:noProof/>
        </w:rPr>
        <w:t>For Subcontractors requesting a waiver (California Form 588) or reduced withholding rate (California Form 589) on payments of California source income, submit form directly to the Franchise Tax Board (FTB).  Send a copy of the waiver or reduced rate authorization letter received from the FTB to the LLNS Accounts Payable Tax Group, by E-Mail at:  AP-tax@llnl.gov; by mail to:  P.O. Box 5001, L-435, Livermore, CA 94551; or by Fax to:  (925) 422-0310.</w:t>
      </w:r>
    </w:p>
    <w:p w14:paraId="4E087438" w14:textId="77777777" w:rsidR="00CE1AA5" w:rsidRPr="006D7567" w:rsidRDefault="00CE1AA5" w:rsidP="00450D91">
      <w:pPr>
        <w:pStyle w:val="ArticleParagraph-Asub"/>
        <w:rPr>
          <w:noProof/>
        </w:rPr>
      </w:pPr>
    </w:p>
    <w:p w14:paraId="355F54B2" w14:textId="77777777" w:rsidR="00CE1AA5" w:rsidRPr="006D7567" w:rsidRDefault="00CE1AA5" w:rsidP="00450D91">
      <w:pPr>
        <w:pStyle w:val="ArticleParagraph-Asub"/>
        <w:rPr>
          <w:noProof/>
        </w:rPr>
      </w:pPr>
      <w:r w:rsidRPr="006D7567">
        <w:rPr>
          <w:noProof/>
        </w:rPr>
        <w:t>Tax form questions should be directed to the Financial Services Help Desk at (925) 424-4444.  Failure to submit required tax forms in a timely manner will result in significant delays in payment of invoices and/or amounts withheld unnecessarily.</w:t>
      </w:r>
    </w:p>
    <w:p w14:paraId="25410E07" w14:textId="77777777" w:rsidR="00CE1AA5" w:rsidRDefault="00CE1AA5" w:rsidP="006A0E36">
      <w:pPr>
        <w:keepNext/>
        <w:rPr>
          <w:noProof/>
          <w:szCs w:val="24"/>
        </w:rPr>
      </w:pPr>
    </w:p>
    <w:p w14:paraId="4BC3E275" w14:textId="77777777" w:rsidR="00CE1AA5" w:rsidRPr="006D7567" w:rsidRDefault="00CE1AA5" w:rsidP="006A0E36">
      <w:pPr>
        <w:pStyle w:val="ArticleParagraph-A"/>
        <w:keepNext/>
        <w:rPr>
          <w:noProof/>
        </w:rPr>
      </w:pPr>
      <w:r>
        <w:rPr>
          <w:noProof/>
        </w:rPr>
        <w:t>D.</w:t>
      </w:r>
      <w:r>
        <w:rPr>
          <w:noProof/>
        </w:rPr>
        <w:tab/>
      </w:r>
      <w:r w:rsidRPr="006D7567">
        <w:rPr>
          <w:noProof/>
        </w:rPr>
        <w:t>Location of Services</w:t>
      </w:r>
    </w:p>
    <w:p w14:paraId="34D37A05" w14:textId="77777777" w:rsidR="00CE1AA5" w:rsidRPr="006D7567" w:rsidRDefault="00CE1AA5" w:rsidP="00450D91">
      <w:pPr>
        <w:keepNext/>
        <w:rPr>
          <w:noProof/>
        </w:rPr>
      </w:pPr>
    </w:p>
    <w:p w14:paraId="2FFCF1A7" w14:textId="77777777" w:rsidR="00CE1AA5" w:rsidRPr="00C14D1C" w:rsidRDefault="00CE1AA5" w:rsidP="00B76F4B">
      <w:pPr>
        <w:pStyle w:val="ArticleParagraph-Asub"/>
        <w:rPr>
          <w:noProof/>
          <w:color w:val="000000" w:themeColor="text1"/>
        </w:rPr>
      </w:pPr>
      <w:r w:rsidRPr="00C14D1C">
        <w:rPr>
          <w:noProof/>
          <w:color w:val="000000" w:themeColor="text1"/>
        </w:rPr>
        <w:t xml:space="preserve">All non-Corporations shall specify the location of services (e.g., labor, travel, etc.) </w:t>
      </w:r>
      <w:r w:rsidRPr="00C14D1C">
        <w:rPr>
          <w:noProof/>
          <w:color w:val="000000" w:themeColor="text1"/>
          <w:u w:val="single"/>
        </w:rPr>
        <w:t>by state</w:t>
      </w:r>
      <w:r w:rsidRPr="00C14D1C">
        <w:rPr>
          <w:noProof/>
          <w:color w:val="000000" w:themeColor="text1"/>
        </w:rPr>
        <w:t xml:space="preserve"> on each invoice including the invoiced amounts for each (include hours and dollars).  If work will only be performed in one state, indicate accordingly.  In addition, any Corporations that </w:t>
      </w:r>
      <w:r w:rsidRPr="00C14D1C">
        <w:rPr>
          <w:noProof/>
          <w:color w:val="000000" w:themeColor="text1"/>
          <w:u w:val="single"/>
        </w:rPr>
        <w:t>do not</w:t>
      </w:r>
      <w:r w:rsidRPr="00C14D1C">
        <w:rPr>
          <w:noProof/>
          <w:color w:val="000000" w:themeColor="text1"/>
        </w:rPr>
        <w:t xml:space="preserve"> have an office in California or </w:t>
      </w:r>
      <w:r w:rsidRPr="00C14D1C">
        <w:rPr>
          <w:noProof/>
          <w:color w:val="000000" w:themeColor="text1"/>
          <w:u w:val="single"/>
        </w:rPr>
        <w:t>are not</w:t>
      </w:r>
      <w:r w:rsidRPr="00C14D1C">
        <w:rPr>
          <w:noProof/>
          <w:color w:val="000000" w:themeColor="text1"/>
        </w:rPr>
        <w:t xml:space="preserve"> registered to do business in California shall also list the location of services on each invoice as previously described.  Only Corporations </w:t>
      </w:r>
      <w:r w:rsidRPr="00C14D1C">
        <w:rPr>
          <w:noProof/>
          <w:color w:val="000000" w:themeColor="text1"/>
          <w:u w:val="single"/>
        </w:rPr>
        <w:t>with</w:t>
      </w:r>
      <w:r w:rsidRPr="00C14D1C">
        <w:rPr>
          <w:noProof/>
          <w:color w:val="000000" w:themeColor="text1"/>
        </w:rPr>
        <w:t xml:space="preserve"> an office residing in California or </w:t>
      </w:r>
      <w:r w:rsidRPr="00C14D1C">
        <w:rPr>
          <w:noProof/>
          <w:color w:val="000000" w:themeColor="text1"/>
          <w:u w:val="single"/>
        </w:rPr>
        <w:t>are</w:t>
      </w:r>
      <w:r w:rsidRPr="00C14D1C">
        <w:rPr>
          <w:noProof/>
          <w:color w:val="000000" w:themeColor="text1"/>
        </w:rPr>
        <w:t xml:space="preserve"> registered to do business in California need not specify the location of services.</w:t>
      </w:r>
    </w:p>
    <w:p w14:paraId="018A261B" w14:textId="77777777" w:rsidR="00CE1AA5" w:rsidRDefault="00CE1AA5" w:rsidP="00655E28">
      <w:pPr>
        <w:rPr>
          <w:noProof/>
        </w:rPr>
      </w:pPr>
    </w:p>
    <w:p w14:paraId="0D5FDD2C" w14:textId="77777777" w:rsidR="00E9175C" w:rsidRPr="00C4417F" w:rsidRDefault="00E9175C" w:rsidP="00E9175C">
      <w:pPr>
        <w:keepNext/>
        <w:jc w:val="both"/>
        <w:rPr>
          <w:noProof/>
          <w:szCs w:val="24"/>
          <w:highlight w:val="cyan"/>
        </w:rPr>
      </w:pPr>
    </w:p>
    <w:p w14:paraId="4BDAEFBB" w14:textId="77777777" w:rsidR="00E9175C" w:rsidRPr="008E696A" w:rsidRDefault="00E9175C" w:rsidP="00E9175C">
      <w:pPr>
        <w:pStyle w:val="ArticleHeader"/>
        <w:rPr>
          <w:noProof/>
        </w:rPr>
      </w:pPr>
      <w:r w:rsidRPr="008E696A">
        <w:rPr>
          <w:noProof/>
        </w:rPr>
        <w:t>LLNL SITE ACCESS BADGING REQUIREMENTS</w:t>
      </w:r>
    </w:p>
    <w:p w14:paraId="292BADE7" w14:textId="77777777" w:rsidR="00E9175C" w:rsidRPr="008E696A" w:rsidRDefault="00E9175C" w:rsidP="00E9175C">
      <w:pPr>
        <w:keepNext/>
        <w:jc w:val="both"/>
        <w:rPr>
          <w:bCs/>
          <w:noProof/>
          <w:color w:val="000000" w:themeColor="text1"/>
        </w:rPr>
      </w:pPr>
    </w:p>
    <w:p w14:paraId="0BBB5003" w14:textId="77777777" w:rsidR="00E9175C" w:rsidRPr="00945080" w:rsidRDefault="00E9175C" w:rsidP="00E9175C">
      <w:pPr>
        <w:pStyle w:val="ArticleParagraph"/>
        <w:rPr>
          <w:noProof/>
          <w:color w:val="000000" w:themeColor="text1"/>
        </w:rPr>
      </w:pPr>
      <w:r>
        <w:rPr>
          <w:noProof/>
          <w:color w:val="000000"/>
        </w:rPr>
        <w:t xml:space="preserve">In addition to the requirements of the incorporated </w:t>
      </w:r>
      <w:r>
        <w:rPr>
          <w:bCs/>
          <w:noProof/>
          <w:color w:val="000000" w:themeColor="text1"/>
        </w:rPr>
        <w:t>SECURITY AND SITE ACCESS PROVISIONS</w:t>
      </w:r>
      <w:r>
        <w:rPr>
          <w:noProof/>
          <w:color w:val="000000"/>
        </w:rPr>
        <w:t xml:space="preserve">, </w:t>
      </w:r>
      <w:r w:rsidRPr="00945080">
        <w:rPr>
          <w:noProof/>
          <w:color w:val="000000" w:themeColor="text1"/>
        </w:rPr>
        <w:t>individuals must show proper identification prior to gaining access to LLNL.</w:t>
      </w:r>
    </w:p>
    <w:p w14:paraId="2BF93571" w14:textId="77777777" w:rsidR="00E9175C" w:rsidRPr="00945080" w:rsidRDefault="00E9175C" w:rsidP="00E9175C">
      <w:pPr>
        <w:pStyle w:val="ArticleParagraph"/>
        <w:rPr>
          <w:noProof/>
          <w:color w:val="000000" w:themeColor="text1"/>
        </w:rPr>
      </w:pPr>
    </w:p>
    <w:p w14:paraId="12840C4A" w14:textId="77777777" w:rsidR="00E9175C" w:rsidRPr="00945080" w:rsidRDefault="00E9175C" w:rsidP="00E9175C">
      <w:pPr>
        <w:pStyle w:val="ArticleParagraph"/>
        <w:rPr>
          <w:noProof/>
          <w:color w:val="000000" w:themeColor="text1"/>
          <w:lang w:val="en"/>
        </w:rPr>
      </w:pPr>
      <w:r w:rsidRPr="00945080">
        <w:rPr>
          <w:noProof/>
          <w:color w:val="000000" w:themeColor="text1"/>
        </w:rPr>
        <w:t>U.S. citizens e</w:t>
      </w:r>
      <w:r>
        <w:rPr>
          <w:noProof/>
          <w:color w:val="000000"/>
        </w:rPr>
        <w:t xml:space="preserve">ntering LLNL will be required to show a valid driver’s license from a jurisdiction that meets the requirements of the REAL ID Act of 2005, identify themselves as U.S. citizens, and provide other identifying information such as a social security number.  Information regarding the REAL ID Act, its requirements, and a list of noncompliant states may be found at </w:t>
      </w:r>
      <w:r w:rsidRPr="003A6ABB">
        <w:rPr>
          <w:noProof/>
        </w:rPr>
        <w:t>http://www.dhs.gov/real-id-enforcement-brief</w:t>
      </w:r>
      <w:r>
        <w:rPr>
          <w:noProof/>
          <w:color w:val="000000"/>
        </w:rPr>
        <w:t xml:space="preserve">.  If an individual holds a license from a noncompliant jurisdiction, they will be required to show a secondary form of identification </w:t>
      </w:r>
      <w:r>
        <w:rPr>
          <w:noProof/>
          <w:color w:val="000000"/>
          <w:lang w:val="en"/>
        </w:rPr>
        <w:t>(i.e., U.S. passport, U.S. passport card</w:t>
      </w:r>
      <w:r w:rsidRPr="00945080">
        <w:rPr>
          <w:noProof/>
          <w:color w:val="000000" w:themeColor="text1"/>
          <w:lang w:val="en"/>
        </w:rPr>
        <w:t>, or U.S. military ID card) in order to be granted access to LLNL.</w:t>
      </w:r>
    </w:p>
    <w:p w14:paraId="6ED83D5C" w14:textId="77777777" w:rsidR="00E9175C" w:rsidRPr="00945080" w:rsidRDefault="00E9175C" w:rsidP="00E9175C">
      <w:pPr>
        <w:pStyle w:val="ArticleParagraph"/>
        <w:rPr>
          <w:noProof/>
          <w:color w:val="000000" w:themeColor="text1"/>
        </w:rPr>
      </w:pPr>
    </w:p>
    <w:p w14:paraId="78B6E163" w14:textId="77777777" w:rsidR="00E9175C" w:rsidRPr="00945080" w:rsidRDefault="00E9175C" w:rsidP="00E9175C">
      <w:pPr>
        <w:pStyle w:val="LetterParagraph"/>
        <w:keepNext/>
        <w:ind w:left="0"/>
        <w:rPr>
          <w:noProof/>
          <w:color w:val="000000" w:themeColor="text1"/>
        </w:rPr>
      </w:pPr>
      <w:r w:rsidRPr="00945080">
        <w:rPr>
          <w:noProof/>
          <w:color w:val="000000" w:themeColor="text1"/>
        </w:rPr>
        <w:t>Foreign nationals entering LLNL will be required to show proper identification from the following list to establish identity and legal status in the United States:</w:t>
      </w:r>
    </w:p>
    <w:p w14:paraId="1AF1939F" w14:textId="77777777" w:rsidR="00E9175C" w:rsidRPr="00945080" w:rsidRDefault="00E9175C" w:rsidP="00E9175C">
      <w:pPr>
        <w:pStyle w:val="LetterParagraph"/>
        <w:keepNext/>
        <w:ind w:left="0"/>
        <w:rPr>
          <w:noProof/>
          <w:color w:val="000000" w:themeColor="text1"/>
        </w:rPr>
      </w:pPr>
    </w:p>
    <w:p w14:paraId="40B8E998" w14:textId="77777777" w:rsidR="00E9175C" w:rsidRPr="00945080" w:rsidRDefault="00E9175C" w:rsidP="00E9175C">
      <w:pPr>
        <w:numPr>
          <w:ilvl w:val="0"/>
          <w:numId w:val="7"/>
        </w:numPr>
        <w:jc w:val="both"/>
        <w:rPr>
          <w:noProof/>
          <w:color w:val="000000" w:themeColor="text1"/>
          <w:szCs w:val="24"/>
        </w:rPr>
      </w:pPr>
      <w:r w:rsidRPr="00945080">
        <w:rPr>
          <w:noProof/>
          <w:color w:val="000000" w:themeColor="text1"/>
          <w:szCs w:val="24"/>
        </w:rPr>
        <w:t xml:space="preserve">A legal permanent resident must show a valid Permanent Residency Card (green card); or Alien Documentation, Identification and Telecommunication (ADIT) stamp. </w:t>
      </w:r>
    </w:p>
    <w:p w14:paraId="10E633DA" w14:textId="77777777" w:rsidR="00E9175C" w:rsidRPr="00945080" w:rsidRDefault="00E9175C" w:rsidP="00E9175C">
      <w:pPr>
        <w:numPr>
          <w:ilvl w:val="0"/>
          <w:numId w:val="7"/>
        </w:numPr>
        <w:jc w:val="both"/>
        <w:rPr>
          <w:noProof/>
          <w:color w:val="000000" w:themeColor="text1"/>
          <w:szCs w:val="24"/>
        </w:rPr>
      </w:pPr>
      <w:r w:rsidRPr="00945080">
        <w:rPr>
          <w:noProof/>
          <w:color w:val="000000" w:themeColor="text1"/>
          <w:szCs w:val="24"/>
        </w:rPr>
        <w:t>A nonimmigrant foreign national must show a current passport with a valid I-94 card or printout (available from</w:t>
      </w:r>
      <w:r>
        <w:rPr>
          <w:noProof/>
          <w:color w:val="0000FF"/>
          <w:szCs w:val="24"/>
        </w:rPr>
        <w:t xml:space="preserve"> </w:t>
      </w:r>
      <w:r w:rsidRPr="003A6ABB">
        <w:rPr>
          <w:noProof/>
          <w:szCs w:val="24"/>
        </w:rPr>
        <w:t>www.cbp.gov/I94</w:t>
      </w:r>
      <w:r w:rsidRPr="00945080">
        <w:rPr>
          <w:noProof/>
          <w:color w:val="000000" w:themeColor="text1"/>
          <w:szCs w:val="24"/>
        </w:rPr>
        <w:t xml:space="preserve">); Visa Waiver Program travelers must provide a valid passport with an admission stamp. </w:t>
      </w:r>
    </w:p>
    <w:p w14:paraId="6A5FFE8C" w14:textId="77777777" w:rsidR="00E9175C" w:rsidRPr="00945080" w:rsidRDefault="00E9175C" w:rsidP="00E9175C">
      <w:pPr>
        <w:numPr>
          <w:ilvl w:val="0"/>
          <w:numId w:val="7"/>
        </w:numPr>
        <w:jc w:val="both"/>
        <w:rPr>
          <w:noProof/>
          <w:color w:val="000000" w:themeColor="text1"/>
          <w:szCs w:val="24"/>
        </w:rPr>
      </w:pPr>
      <w:r w:rsidRPr="00945080">
        <w:rPr>
          <w:noProof/>
          <w:color w:val="000000" w:themeColor="text1"/>
          <w:szCs w:val="24"/>
        </w:rPr>
        <w:t xml:space="preserve">A nonimmigrant foreign national with an I-94 valid for </w:t>
      </w:r>
      <w:r w:rsidRPr="00945080">
        <w:rPr>
          <w:i/>
          <w:noProof/>
          <w:color w:val="000000" w:themeColor="text1"/>
          <w:szCs w:val="24"/>
        </w:rPr>
        <w:t>duration of status</w:t>
      </w:r>
      <w:r w:rsidRPr="00945080">
        <w:rPr>
          <w:noProof/>
          <w:color w:val="000000" w:themeColor="text1"/>
          <w:szCs w:val="24"/>
        </w:rPr>
        <w:t xml:space="preserve"> must also produce the proper supporting documentation indicative of current status (e.g., DS-2019, I-20, EAD, etc.).</w:t>
      </w:r>
    </w:p>
    <w:p w14:paraId="7FB51E37" w14:textId="5221327F" w:rsidR="00E9175C" w:rsidRDefault="00E9175C" w:rsidP="00E9175C">
      <w:pPr>
        <w:numPr>
          <w:ilvl w:val="0"/>
          <w:numId w:val="7"/>
        </w:numPr>
        <w:jc w:val="both"/>
        <w:rPr>
          <w:noProof/>
          <w:color w:val="000000" w:themeColor="text1"/>
          <w:szCs w:val="24"/>
        </w:rPr>
      </w:pPr>
      <w:r w:rsidRPr="00945080">
        <w:rPr>
          <w:noProof/>
          <w:color w:val="000000" w:themeColor="text1"/>
          <w:szCs w:val="24"/>
        </w:rPr>
        <w:t>Canadian citizens must provide a valid passport with entry stamp or a valid I-94.</w:t>
      </w:r>
    </w:p>
    <w:p w14:paraId="5E9B1411" w14:textId="77777777" w:rsidR="00E9175C" w:rsidRPr="00945080" w:rsidRDefault="00E9175C" w:rsidP="00E9175C">
      <w:pPr>
        <w:ind w:left="720"/>
        <w:jc w:val="both"/>
        <w:rPr>
          <w:noProof/>
          <w:color w:val="000000" w:themeColor="text1"/>
          <w:szCs w:val="24"/>
        </w:rPr>
      </w:pPr>
    </w:p>
    <w:p w14:paraId="69CF3D9D" w14:textId="77777777" w:rsidR="00E9175C" w:rsidRPr="00E80B4B" w:rsidRDefault="00E9175C" w:rsidP="00E9175C">
      <w:pPr>
        <w:pStyle w:val="ArticleHeader"/>
        <w:ind w:left="360" w:hanging="360"/>
        <w:jc w:val="both"/>
        <w:rPr>
          <w:noProof/>
          <w:color w:val="auto"/>
        </w:rPr>
      </w:pPr>
      <w:r w:rsidRPr="00E80B4B">
        <w:rPr>
          <w:noProof/>
          <w:color w:val="auto"/>
        </w:rPr>
        <w:t>ON-SITE WORK: NOTICE TO PROCEED</w:t>
      </w:r>
    </w:p>
    <w:p w14:paraId="4E7BAA8B" w14:textId="77777777" w:rsidR="00E9175C" w:rsidRPr="00E80B4B" w:rsidRDefault="00E9175C" w:rsidP="00E9175C">
      <w:pPr>
        <w:pStyle w:val="ClauseTitle"/>
        <w:spacing w:before="0" w:after="0"/>
        <w:rPr>
          <w:b w:val="0"/>
          <w:bCs/>
          <w:caps w:val="0"/>
          <w:noProof/>
          <w:sz w:val="24"/>
          <w:szCs w:val="24"/>
        </w:rPr>
      </w:pPr>
    </w:p>
    <w:p w14:paraId="794A6FA8" w14:textId="77777777" w:rsidR="00E9175C" w:rsidRPr="00E80B4B" w:rsidRDefault="00E9175C" w:rsidP="00E9175C">
      <w:pPr>
        <w:pStyle w:val="ArticleParagraph"/>
        <w:rPr>
          <w:noProof/>
        </w:rPr>
      </w:pPr>
      <w:r w:rsidRPr="00E80B4B">
        <w:rPr>
          <w:noProof/>
        </w:rPr>
        <w:t xml:space="preserve">On-site work at LLNL is affected by the COVID-19 pandemic, which means that site access to LLNL by LLNS employees and subcontractors and other guests is restricted.  LLNS follows evolving directions from the National Nuclear Security Administration (NNSA) and other authorities, including local and state government health orders and guidance from the Centers for Disease Control.   Consequently, LLNL’s operational mode is dynamic, and may change with or without advance notice.  Therefore, the Subcontractor may not commence any on-site work until the LLNS Contract Analyst issues a written Notice to Proceed. </w:t>
      </w:r>
    </w:p>
    <w:p w14:paraId="37AA8614" w14:textId="77777777" w:rsidR="00E9175C" w:rsidRPr="00E80B4B" w:rsidRDefault="00E9175C" w:rsidP="00E9175C">
      <w:pPr>
        <w:pStyle w:val="ArticleParagraph"/>
        <w:rPr>
          <w:noProof/>
        </w:rPr>
      </w:pPr>
    </w:p>
    <w:p w14:paraId="23E68575" w14:textId="79ED12AA" w:rsidR="00E9175C" w:rsidRDefault="00E9175C" w:rsidP="00E9175C">
      <w:pPr>
        <w:pStyle w:val="ArticleParagraph"/>
        <w:rPr>
          <w:noProof/>
        </w:rPr>
      </w:pPr>
      <w:r w:rsidRPr="00E80B4B">
        <w:rPr>
          <w:noProof/>
        </w:rPr>
        <w:t xml:space="preserve">When site access is authorized, the Subcontractor is required to comply with all applicable government health orders and the requirements identified in the latest </w:t>
      </w:r>
      <w:r w:rsidRPr="00E80B4B">
        <w:rPr>
          <w:i/>
          <w:iCs/>
          <w:caps/>
          <w:noProof/>
        </w:rPr>
        <w:t>COVID-19 Site Access Requirements for Lawrence Livermore National Laboratory</w:t>
      </w:r>
      <w:r w:rsidRPr="00E80B4B">
        <w:rPr>
          <w:caps/>
          <w:noProof/>
        </w:rPr>
        <w:t xml:space="preserve"> </w:t>
      </w:r>
      <w:r w:rsidRPr="00E80B4B">
        <w:rPr>
          <w:noProof/>
        </w:rPr>
        <w:t xml:space="preserve">document located at the following website: </w:t>
      </w:r>
      <w:r w:rsidRPr="003A6ABB">
        <w:rPr>
          <w:noProof/>
        </w:rPr>
        <w:t>https://supplychain.llnl.gov</w:t>
      </w:r>
      <w:r w:rsidRPr="00E80B4B">
        <w:rPr>
          <w:noProof/>
        </w:rPr>
        <w:t xml:space="preserve"> (under Supplier Information and Special Provisions).  To the extent that a Subcontractor requests LLNS to fill out its own Questionnaire before sending its workers on-site, the Subcontractor should review </w:t>
      </w:r>
      <w:r w:rsidRPr="00E80B4B">
        <w:rPr>
          <w:i/>
          <w:iCs/>
          <w:noProof/>
        </w:rPr>
        <w:t>LLNL Safeguards for Protecting Workers &amp; Visitors</w:t>
      </w:r>
      <w:r w:rsidRPr="00E80B4B">
        <w:rPr>
          <w:noProof/>
        </w:rPr>
        <w:t xml:space="preserve"> </w:t>
      </w:r>
      <w:r w:rsidRPr="00E80B4B">
        <w:rPr>
          <w:i/>
          <w:iCs/>
          <w:noProof/>
        </w:rPr>
        <w:t>During the COVID-19 Pandemic</w:t>
      </w:r>
      <w:r w:rsidRPr="00E80B4B">
        <w:rPr>
          <w:noProof/>
        </w:rPr>
        <w:t xml:space="preserve"> document located at the above-referenced website. The Subcontractor must perform all other off-site work necessary to satisfy the requirements of the Subcontract provided such off-site work is in compliance with applicable health and safety directives.</w:t>
      </w:r>
    </w:p>
    <w:p w14:paraId="16F1F6A0" w14:textId="77777777" w:rsidR="00E9175C" w:rsidRPr="00E80B4B" w:rsidRDefault="00E9175C" w:rsidP="00E9175C">
      <w:pPr>
        <w:pStyle w:val="ArticleParagraph"/>
        <w:rPr>
          <w:noProof/>
        </w:rPr>
      </w:pPr>
    </w:p>
    <w:p w14:paraId="78DC8686" w14:textId="77777777" w:rsidR="00E9175C" w:rsidRPr="001F729A" w:rsidRDefault="00E9175C" w:rsidP="00E9175C">
      <w:pPr>
        <w:pStyle w:val="ArticleHeader"/>
        <w:rPr>
          <w:noProof/>
        </w:rPr>
      </w:pPr>
      <w:r w:rsidRPr="001F729A">
        <w:rPr>
          <w:noProof/>
        </w:rPr>
        <w:lastRenderedPageBreak/>
        <w:t>SAFETY-RELATED REQUIREMENTS</w:t>
      </w:r>
    </w:p>
    <w:p w14:paraId="3F21CA27" w14:textId="77777777" w:rsidR="00E9175C" w:rsidRPr="001F729A" w:rsidRDefault="00E9175C" w:rsidP="00E9175C">
      <w:pPr>
        <w:keepNext/>
        <w:rPr>
          <w:noProof/>
        </w:rPr>
      </w:pPr>
    </w:p>
    <w:p w14:paraId="0E54FD3B" w14:textId="77777777" w:rsidR="00E9175C" w:rsidRPr="001F729A" w:rsidRDefault="00E9175C" w:rsidP="00E9175C">
      <w:pPr>
        <w:pStyle w:val="ArticleParagraph-A"/>
        <w:keepNext/>
        <w:rPr>
          <w:noProof/>
        </w:rPr>
      </w:pPr>
      <w:r w:rsidRPr="001F729A">
        <w:rPr>
          <w:noProof/>
        </w:rPr>
        <w:t>A.</w:t>
      </w:r>
      <w:r w:rsidRPr="001F729A">
        <w:rPr>
          <w:noProof/>
        </w:rPr>
        <w:tab/>
        <w:t>General</w:t>
      </w:r>
    </w:p>
    <w:p w14:paraId="6D8389B6" w14:textId="77777777" w:rsidR="00E9175C" w:rsidRPr="001F729A" w:rsidRDefault="00E9175C" w:rsidP="00E9175C">
      <w:pPr>
        <w:keepNext/>
        <w:rPr>
          <w:noProof/>
        </w:rPr>
      </w:pPr>
    </w:p>
    <w:p w14:paraId="6A46FDAE" w14:textId="77777777" w:rsidR="00E9175C" w:rsidRPr="001F729A" w:rsidRDefault="00E9175C" w:rsidP="00E9175C">
      <w:pPr>
        <w:pStyle w:val="ArticleParagraph-Asub"/>
        <w:rPr>
          <w:noProof/>
        </w:rPr>
      </w:pPr>
      <w:r w:rsidRPr="001F729A">
        <w:rPr>
          <w:noProof/>
        </w:rPr>
        <w:t xml:space="preserve">The </w:t>
      </w:r>
      <w:r>
        <w:rPr>
          <w:noProof/>
        </w:rPr>
        <w:t>Subcontractor</w:t>
      </w:r>
      <w:r w:rsidRPr="001F729A">
        <w:rPr>
          <w:noProof/>
        </w:rPr>
        <w:t xml:space="preserve"> shall take all reasonable precautions in the performance of the work to protect the health and safety of employees and members of the public, and to minimize hazards to the surrounding environment, wildlife and property.</w:t>
      </w:r>
    </w:p>
    <w:p w14:paraId="407EF213" w14:textId="77777777" w:rsidR="00E9175C" w:rsidRPr="001F729A" w:rsidRDefault="00E9175C" w:rsidP="00E9175C">
      <w:pPr>
        <w:pStyle w:val="ArticleParagraph-Asub"/>
        <w:rPr>
          <w:noProof/>
        </w:rPr>
      </w:pPr>
    </w:p>
    <w:p w14:paraId="61199206" w14:textId="77777777" w:rsidR="00E9175C" w:rsidRPr="001F729A" w:rsidRDefault="00E9175C" w:rsidP="00E9175C">
      <w:pPr>
        <w:pStyle w:val="ArticleParagraph-Asub"/>
        <w:rPr>
          <w:noProof/>
        </w:rPr>
      </w:pPr>
      <w:r w:rsidRPr="001F729A">
        <w:rPr>
          <w:noProof/>
        </w:rPr>
        <w:t xml:space="preserve">The </w:t>
      </w:r>
      <w:r>
        <w:rPr>
          <w:noProof/>
        </w:rPr>
        <w:t>Subcontractor</w:t>
      </w:r>
      <w:r w:rsidRPr="001F729A">
        <w:rPr>
          <w:noProof/>
        </w:rPr>
        <w:t xml:space="preserve"> shall comply with, and assist LLNS and the DOE/NNSA in complying with, all Environment, Safety, and Health (ES&amp;H) requirements, training, and associated safety documents referenced, attached, or incorporated into this </w:t>
      </w:r>
      <w:r>
        <w:rPr>
          <w:noProof/>
        </w:rPr>
        <w:t>Subcontract</w:t>
      </w:r>
      <w:r w:rsidRPr="001F729A">
        <w:rPr>
          <w:noProof/>
        </w:rPr>
        <w:t xml:space="preserve">, and any other safety-related documents submitted by the </w:t>
      </w:r>
      <w:r>
        <w:rPr>
          <w:noProof/>
        </w:rPr>
        <w:t>Subcontractor</w:t>
      </w:r>
      <w:r w:rsidRPr="001F729A">
        <w:rPr>
          <w:noProof/>
        </w:rPr>
        <w:t xml:space="preserve"> and reviewed and accepted by LLNS.</w:t>
      </w:r>
    </w:p>
    <w:p w14:paraId="2D03E931" w14:textId="77777777" w:rsidR="00E9175C" w:rsidRPr="001F729A" w:rsidRDefault="00E9175C" w:rsidP="00E9175C">
      <w:pPr>
        <w:pStyle w:val="ArticleParagraph-Asub"/>
        <w:rPr>
          <w:noProof/>
        </w:rPr>
      </w:pPr>
    </w:p>
    <w:p w14:paraId="0A15BDB1" w14:textId="77777777" w:rsidR="00E9175C" w:rsidRDefault="00E9175C" w:rsidP="00E9175C">
      <w:pPr>
        <w:pStyle w:val="ArticleParagraph-Asub"/>
        <w:rPr>
          <w:noProof/>
        </w:rPr>
      </w:pPr>
      <w:r w:rsidRPr="001F729A">
        <w:rPr>
          <w:noProof/>
        </w:rPr>
        <w:t xml:space="preserve">The </w:t>
      </w:r>
      <w:r>
        <w:rPr>
          <w:noProof/>
        </w:rPr>
        <w:t>Subcontractor</w:t>
      </w:r>
      <w:r w:rsidRPr="001F729A">
        <w:rPr>
          <w:noProof/>
        </w:rPr>
        <w:t xml:space="preserve"> shall comply with all instructions, controls, and precautions communicated to the </w:t>
      </w:r>
      <w:r>
        <w:rPr>
          <w:noProof/>
        </w:rPr>
        <w:t>Subcontractor</w:t>
      </w:r>
      <w:r w:rsidRPr="001F729A">
        <w:rPr>
          <w:noProof/>
        </w:rPr>
        <w:t xml:space="preserve"> by the LLNS Technical Representative, or designee, regarding any applicable area hazards associated with the </w:t>
      </w:r>
      <w:r>
        <w:rPr>
          <w:noProof/>
        </w:rPr>
        <w:t>Subcontractor</w:t>
      </w:r>
      <w:r w:rsidRPr="001F729A">
        <w:rPr>
          <w:noProof/>
        </w:rPr>
        <w:t>’s work at the LLNL site.</w:t>
      </w:r>
    </w:p>
    <w:p w14:paraId="7F1AEE50" w14:textId="77777777" w:rsidR="00E9175C" w:rsidRDefault="00E9175C" w:rsidP="00E9175C">
      <w:pPr>
        <w:pStyle w:val="ArticleParagraph-Asub"/>
        <w:rPr>
          <w:noProof/>
        </w:rPr>
      </w:pPr>
    </w:p>
    <w:p w14:paraId="47356A0C" w14:textId="77777777" w:rsidR="00E9175C" w:rsidRPr="00D364C7" w:rsidRDefault="00E9175C" w:rsidP="00E9175C">
      <w:pPr>
        <w:pStyle w:val="ArticleParagraph-Asub"/>
        <w:rPr>
          <w:noProof/>
        </w:rPr>
      </w:pPr>
      <w:r w:rsidRPr="00D364C7">
        <w:rPr>
          <w:noProof/>
        </w:rPr>
        <w:t>If after expiration or termination of the Subcontract, site access is required to correct any nonconformances under the Warranty clause of the General Provision, the Subcontractor shall adhere to the requirements set forth in this Subcontract and any updated work controls.</w:t>
      </w:r>
    </w:p>
    <w:p w14:paraId="67323948" w14:textId="77777777" w:rsidR="00E9175C" w:rsidRPr="001F729A" w:rsidRDefault="00E9175C" w:rsidP="00E9175C">
      <w:pPr>
        <w:rPr>
          <w:noProof/>
        </w:rPr>
      </w:pPr>
    </w:p>
    <w:p w14:paraId="0CCC60B7" w14:textId="77777777" w:rsidR="00E9175C" w:rsidRPr="001F729A" w:rsidRDefault="00E9175C" w:rsidP="00E9175C">
      <w:pPr>
        <w:pStyle w:val="ArticleParagraph-A"/>
        <w:keepNext/>
        <w:rPr>
          <w:noProof/>
        </w:rPr>
      </w:pPr>
      <w:r w:rsidRPr="001F729A">
        <w:rPr>
          <w:noProof/>
        </w:rPr>
        <w:t>B.</w:t>
      </w:r>
      <w:r w:rsidRPr="001F729A">
        <w:rPr>
          <w:noProof/>
        </w:rPr>
        <w:tab/>
        <w:t>Worker Safety and Health Program</w:t>
      </w:r>
    </w:p>
    <w:p w14:paraId="17A712FE" w14:textId="77777777" w:rsidR="00E9175C" w:rsidRPr="001F729A" w:rsidRDefault="00E9175C" w:rsidP="00E9175C">
      <w:pPr>
        <w:keepNext/>
        <w:rPr>
          <w:noProof/>
        </w:rPr>
      </w:pPr>
    </w:p>
    <w:p w14:paraId="7F904AD3" w14:textId="77777777" w:rsidR="00E9175C" w:rsidRPr="001F729A" w:rsidRDefault="00E9175C" w:rsidP="00E9175C">
      <w:pPr>
        <w:pStyle w:val="ArticleParagraph-Asub"/>
        <w:rPr>
          <w:noProof/>
        </w:rPr>
      </w:pPr>
      <w:r w:rsidRPr="001F729A">
        <w:rPr>
          <w:noProof/>
        </w:rPr>
        <w:t xml:space="preserve">All work by the </w:t>
      </w:r>
      <w:r>
        <w:rPr>
          <w:noProof/>
        </w:rPr>
        <w:t>Subcontractor</w:t>
      </w:r>
      <w:r w:rsidRPr="001F729A">
        <w:rPr>
          <w:noProof/>
        </w:rPr>
        <w:t xml:space="preserve"> and its lower-tier subcontractors at an LLNL worksite is subject to the </w:t>
      </w:r>
      <w:r w:rsidRPr="000A174B">
        <w:rPr>
          <w:i/>
          <w:noProof/>
        </w:rPr>
        <w:t>Worker Safety and Health Program</w:t>
      </w:r>
      <w:r w:rsidRPr="001F729A">
        <w:rPr>
          <w:noProof/>
        </w:rPr>
        <w:t xml:space="preserve"> regulation at Title 10, Part 851 of the U.S. Code of Federal Regulations (10 CFR 851).  LLNS has established an </w:t>
      </w:r>
      <w:r w:rsidRPr="000A174B">
        <w:rPr>
          <w:i/>
          <w:noProof/>
        </w:rPr>
        <w:t>LLNL Worker Safety and Health Program</w:t>
      </w:r>
      <w:r w:rsidRPr="001F729A">
        <w:rPr>
          <w:noProof/>
        </w:rPr>
        <w:t xml:space="preserve"> to implement the requirements of 10 CFR 851 for the work at LLNL worksites.  The </w:t>
      </w:r>
      <w:r>
        <w:rPr>
          <w:noProof/>
        </w:rPr>
        <w:t>Subcontractor</w:t>
      </w:r>
      <w:r w:rsidRPr="001F729A">
        <w:rPr>
          <w:noProof/>
        </w:rPr>
        <w:t xml:space="preserve"> shall assist LLNS and the DOE/NNSA in complying with all applicable environmental, safety, health regulations, including 10 CFR 851 and may be subject to DOE enforcement actions for violations thereof.  Information on the regulation is available at the following website:</w:t>
      </w:r>
    </w:p>
    <w:p w14:paraId="5D937577" w14:textId="77777777" w:rsidR="00E9175C" w:rsidRPr="001F729A" w:rsidRDefault="00E9175C" w:rsidP="00E9175C">
      <w:pPr>
        <w:pStyle w:val="ArticleParagraph-Asub"/>
        <w:rPr>
          <w:noProof/>
        </w:rPr>
      </w:pPr>
    </w:p>
    <w:p w14:paraId="7D0E36F6" w14:textId="77777777" w:rsidR="00E9175C" w:rsidRPr="00EE3B8E" w:rsidRDefault="00E9175C" w:rsidP="00E9175C">
      <w:pPr>
        <w:jc w:val="center"/>
        <w:rPr>
          <w:rFonts w:cs="Times New Roman"/>
          <w:noProof/>
          <w:color w:val="0000FF"/>
          <w:szCs w:val="24"/>
        </w:rPr>
      </w:pPr>
      <w:r w:rsidRPr="003A6ABB">
        <w:rPr>
          <w:rFonts w:cs="Times New Roman"/>
          <w:noProof/>
          <w:szCs w:val="24"/>
        </w:rPr>
        <w:t>http://www.energy.gov/ehss/environment-health-safety-security</w:t>
      </w:r>
    </w:p>
    <w:p w14:paraId="255F6851" w14:textId="77777777" w:rsidR="00E9175C" w:rsidRPr="001F729A" w:rsidRDefault="00E9175C" w:rsidP="00E9175C">
      <w:pPr>
        <w:pStyle w:val="ArticleParagraph-Asub"/>
        <w:rPr>
          <w:noProof/>
        </w:rPr>
      </w:pPr>
    </w:p>
    <w:p w14:paraId="5831A319" w14:textId="77777777" w:rsidR="00E9175C" w:rsidRPr="001F729A" w:rsidRDefault="00E9175C" w:rsidP="00E9175C">
      <w:pPr>
        <w:pStyle w:val="ArticleParagraph-A"/>
        <w:keepNext/>
        <w:rPr>
          <w:noProof/>
        </w:rPr>
      </w:pPr>
      <w:r w:rsidRPr="001F729A">
        <w:rPr>
          <w:noProof/>
        </w:rPr>
        <w:t>C.</w:t>
      </w:r>
      <w:r w:rsidRPr="001F729A">
        <w:rPr>
          <w:noProof/>
        </w:rPr>
        <w:tab/>
        <w:t>Safety Standards and Testing</w:t>
      </w:r>
    </w:p>
    <w:p w14:paraId="034ACE5A" w14:textId="77777777" w:rsidR="00E9175C" w:rsidRPr="001F729A" w:rsidRDefault="00E9175C" w:rsidP="00E9175C">
      <w:pPr>
        <w:keepNext/>
        <w:rPr>
          <w:noProof/>
        </w:rPr>
      </w:pPr>
    </w:p>
    <w:p w14:paraId="67DB051F" w14:textId="77777777" w:rsidR="00E9175C" w:rsidRPr="00A82BE0" w:rsidRDefault="00E9175C" w:rsidP="00E9175C">
      <w:pPr>
        <w:pStyle w:val="ArticleParagraph-Asub"/>
        <w:rPr>
          <w:noProof/>
        </w:rPr>
      </w:pPr>
      <w:r w:rsidRPr="0020543E">
        <w:rPr>
          <w:noProof/>
        </w:rPr>
        <w:t xml:space="preserve">Materials, supplies, and equipment, or systems furnished by the Subcontractor under this Subcontract shall meet safety standards recognized in the United States of America.  All electrical equipment, components, conductors, and other electrical material shall be of a type that is listed, labeled, or tested by a Nationally Recognized Testing Laboratory (NRTL) in accordance with Title 29, Part 1910, Occupational Safety and Health Standards (OSHA), of the Code of Federal Regulations (29 CFR 1910.7).  Subcontractor-provided equipment or systems which are not listed, labeled or tested by a NRTL shall be field evaluated by an OSHA accredited NRTL prior to delivery to LLNL.  The documentation consisting of a NRTL Field Report shall reference the applicable Subcontract number and be delivered electronically to the LLNS Technical Representative identified in the Coordination and Administration Article and the Authority Having Jurisdiction (AHJ) at LLNL. </w:t>
      </w:r>
      <w:r w:rsidRPr="00E80B4B">
        <w:rPr>
          <w:noProof/>
        </w:rPr>
        <w:t xml:space="preserve">The Subcontractor shall not, without prior written approval from the LLNS Contract Analyst, furnish, use or provide any deliverables, materials, supplies, or equipment </w:t>
      </w:r>
      <w:r w:rsidRPr="00E80B4B">
        <w:rPr>
          <w:noProof/>
        </w:rPr>
        <w:lastRenderedPageBreak/>
        <w:t>that do not meet these requirements.  LLNS may request, and the Subcontractor shall provide, all applicable documentation enabling LLNS to review any waiver of these requirements.</w:t>
      </w:r>
      <w:r>
        <w:rPr>
          <w:noProof/>
        </w:rPr>
        <w:t xml:space="preserve"> </w:t>
      </w:r>
      <w:r w:rsidRPr="00A82BE0">
        <w:rPr>
          <w:noProof/>
        </w:rPr>
        <w:t xml:space="preserve">  </w:t>
      </w:r>
    </w:p>
    <w:p w14:paraId="0907A04D" w14:textId="6368E1CD" w:rsidR="00CE1AA5" w:rsidRDefault="00CE1AA5" w:rsidP="00B225FF">
      <w:pPr>
        <w:pStyle w:val="ArticleParagraph"/>
        <w:rPr>
          <w:noProof/>
        </w:rPr>
      </w:pPr>
    </w:p>
    <w:p w14:paraId="249DAD7C" w14:textId="77777777" w:rsidR="00CE1AA5" w:rsidRPr="00174D91" w:rsidRDefault="00CE1AA5" w:rsidP="00683387">
      <w:pPr>
        <w:pStyle w:val="ArticleHeader"/>
      </w:pPr>
      <w:r w:rsidRPr="00174D91">
        <w:t>COORDINATION AND ADMINISTRATION</w:t>
      </w:r>
    </w:p>
    <w:p w14:paraId="50152F9C" w14:textId="77777777" w:rsidR="00CE1AA5" w:rsidRPr="00174D91" w:rsidRDefault="00CE1AA5" w:rsidP="00E32AC8">
      <w:pPr>
        <w:keepNext/>
      </w:pPr>
    </w:p>
    <w:p w14:paraId="57D04B0A" w14:textId="77777777" w:rsidR="00CE1AA5" w:rsidRPr="00174D91" w:rsidRDefault="00CE1AA5" w:rsidP="00E32AC8">
      <w:pPr>
        <w:pStyle w:val="ArticleParagraph-A"/>
        <w:keepNext/>
      </w:pPr>
      <w:r w:rsidRPr="00174D91">
        <w:t>A.</w:t>
      </w:r>
      <w:r w:rsidRPr="00174D91">
        <w:tab/>
        <w:t xml:space="preserve">The LLNS Contract </w:t>
      </w:r>
      <w:r w:rsidRPr="00E33A9C">
        <w:t>Analyst</w:t>
      </w:r>
      <w:r w:rsidRPr="00174D91">
        <w:t xml:space="preserve"> for this Subcontract is</w:t>
      </w:r>
      <w:r>
        <w:t xml:space="preserve"> Gary M. Ward, </w:t>
      </w:r>
      <w:r w:rsidRPr="0096118D">
        <w:t xml:space="preserve">or any other designee(s) as may be specified from time to time by the Contract Analyst, including by e-mail notification.  </w:t>
      </w:r>
      <w:r w:rsidRPr="00174D91">
        <w:t xml:space="preserve">All matters relating to the administration, performance and non-technical interpretation of this Subcontract shall be directed to the LLNS Contract </w:t>
      </w:r>
      <w:r w:rsidRPr="00E33A9C">
        <w:t>Analyst</w:t>
      </w:r>
      <w:r w:rsidRPr="00972DFE">
        <w:rPr>
          <w:color w:val="000000" w:themeColor="text1"/>
        </w:rPr>
        <w:t xml:space="preserve">.  </w:t>
      </w:r>
      <w:r w:rsidRPr="00174D91">
        <w:t xml:space="preserve">The Subcontractor shall direct all notices and requests for approval to the LLNS Contract </w:t>
      </w:r>
      <w:r w:rsidRPr="00E33A9C">
        <w:t>Analyst</w:t>
      </w:r>
      <w:r w:rsidRPr="00972DFE">
        <w:rPr>
          <w:color w:val="000000" w:themeColor="text1"/>
        </w:rPr>
        <w:t xml:space="preserve">. </w:t>
      </w:r>
      <w:r w:rsidRPr="00174D91">
        <w:t xml:space="preserve">The LLNS Contract </w:t>
      </w:r>
      <w:r w:rsidRPr="00E33A9C">
        <w:t>Analyst</w:t>
      </w:r>
      <w:r w:rsidRPr="00174D91">
        <w:t xml:space="preserve"> will issue any notices or non-technical approvals to the Subcontractor.</w:t>
      </w:r>
    </w:p>
    <w:p w14:paraId="6CDB9087" w14:textId="77777777" w:rsidR="00CE1AA5" w:rsidRPr="00174D91" w:rsidRDefault="00CE1AA5" w:rsidP="00E32AC8">
      <w:pPr>
        <w:pStyle w:val="ArticleParagraph-A"/>
      </w:pPr>
    </w:p>
    <w:p w14:paraId="3E447956" w14:textId="77777777" w:rsidR="00CE1AA5" w:rsidRPr="00174D91" w:rsidRDefault="00CE1AA5" w:rsidP="00E32AC8">
      <w:pPr>
        <w:pStyle w:val="ArticleParagraph-A"/>
      </w:pPr>
      <w:r w:rsidRPr="00174D91">
        <w:t>B.</w:t>
      </w:r>
      <w:r w:rsidRPr="00174D91">
        <w:tab/>
        <w:t>The LLNS Technical Representative for this Subcontract is</w:t>
      </w:r>
      <w:r>
        <w:t xml:space="preserve"> TBD</w:t>
      </w:r>
      <w:r w:rsidRPr="00174D91">
        <w:t>, or designee</w:t>
      </w:r>
      <w:r>
        <w:t xml:space="preserve">, </w:t>
      </w:r>
      <w:r w:rsidRPr="00056EEE">
        <w:rPr>
          <w:color w:val="000000" w:themeColor="text1"/>
        </w:rPr>
        <w:t>telephone (925) 42</w:t>
      </w:r>
      <w:r w:rsidRPr="00F93704">
        <w:rPr>
          <w:color w:val="000000" w:themeColor="text1"/>
        </w:rPr>
        <w:t>TBD</w:t>
      </w:r>
      <w:r w:rsidRPr="00056EEE">
        <w:rPr>
          <w:color w:val="000000" w:themeColor="text1"/>
        </w:rPr>
        <w:t xml:space="preserve">, or email </w:t>
      </w:r>
      <w:r w:rsidRPr="00F93704">
        <w:rPr>
          <w:color w:val="000000" w:themeColor="text1"/>
        </w:rPr>
        <w:t>TBD</w:t>
      </w:r>
      <w:r w:rsidRPr="00056EEE">
        <w:rPr>
          <w:color w:val="000000" w:themeColor="text1"/>
        </w:rPr>
        <w:t xml:space="preserve">@llnl.gov.  The LLNS Technical Representative will provide technical direction in connection with the </w:t>
      </w:r>
      <w:r w:rsidRPr="00174D91">
        <w:t>work to be performed under this Subcontract.  The term “technical direction” is defined to include (1) direction to the Subcontractor which assist in the interpretation of drawings, specifications, or technical portions of the work description; and (2) the review and approval of technical reports, drawings, specifications, and information to be delivered by the Subcontractor under the Subcontract, where required. The LLNS Technical Representative will issue all technical direction in writing.</w:t>
      </w:r>
    </w:p>
    <w:p w14:paraId="63EFC077" w14:textId="77777777" w:rsidR="00CE1AA5" w:rsidRPr="00174D91" w:rsidRDefault="00CE1AA5" w:rsidP="00E32AC8">
      <w:pPr>
        <w:pStyle w:val="ArticleParagraph-A"/>
      </w:pPr>
    </w:p>
    <w:p w14:paraId="7FB78877" w14:textId="77777777" w:rsidR="00CE1AA5" w:rsidRPr="00C14D1C" w:rsidRDefault="00CE1AA5" w:rsidP="00E32AC8">
      <w:pPr>
        <w:pStyle w:val="ArticleParagraph-A"/>
        <w:rPr>
          <w:color w:val="000000" w:themeColor="text1"/>
        </w:rPr>
      </w:pPr>
      <w:r w:rsidRPr="00174D91">
        <w:t>C.</w:t>
      </w:r>
      <w:r w:rsidRPr="00174D91">
        <w:tab/>
        <w:t xml:space="preserve">The LLNS Technical Representative is not authorized to issue any technical direction which would (1) constitute an assignment of work outside the general scope of the work covered by this Subcontract; (2) change the description of the work to be performed or any applicable drawings, designs, and specifications; (3) change the time or place of performance; the method of shipment or packaging, or the place of inspection, delivery or acceptance; (4) increase the estimated cost for performance of the work or the time required for performance of the work; (5) change any expressed term or condition of the Subcontract; or (6) unreasonably interfere with the Subcontractor’s ability to perform and complete the work.  Any such change must first be authorized by a written modification to this Subcontract issued by the LLNS Contract </w:t>
      </w:r>
      <w:r w:rsidRPr="00E33A9C">
        <w:t>Analyst</w:t>
      </w:r>
      <w:r w:rsidRPr="00972DFE">
        <w:rPr>
          <w:color w:val="000000" w:themeColor="text1"/>
        </w:rPr>
        <w:t xml:space="preserve">.  </w:t>
      </w:r>
      <w:r w:rsidRPr="00C14D1C">
        <w:rPr>
          <w:color w:val="000000" w:themeColor="text1"/>
        </w:rPr>
        <w:t xml:space="preserve">The LLNS Technical Representative is not authorized to execute on behalf of LLNS any Subcontractor provided terms, conditions, or representations without consent from the LLNS Contract </w:t>
      </w:r>
      <w:r w:rsidRPr="00E33A9C">
        <w:t>Analyst</w:t>
      </w:r>
      <w:r w:rsidRPr="00972DFE">
        <w:rPr>
          <w:color w:val="000000" w:themeColor="text1"/>
        </w:rPr>
        <w:t xml:space="preserve">.  </w:t>
      </w:r>
      <w:r w:rsidRPr="00C14D1C">
        <w:rPr>
          <w:color w:val="000000" w:themeColor="text1"/>
        </w:rPr>
        <w:t>This includes end-use certifications and representations.</w:t>
      </w:r>
    </w:p>
    <w:p w14:paraId="3EFB4B5F" w14:textId="77777777" w:rsidR="00CE1AA5" w:rsidRPr="001631CD" w:rsidRDefault="00CE1AA5" w:rsidP="00E32AC8">
      <w:pPr>
        <w:pStyle w:val="ArticleParagraph-Asub"/>
        <w:rPr>
          <w:noProof/>
        </w:rPr>
      </w:pPr>
    </w:p>
    <w:p w14:paraId="49874504" w14:textId="77777777" w:rsidR="00CE1AA5" w:rsidRPr="001631CD" w:rsidRDefault="00CE1AA5" w:rsidP="00683387">
      <w:pPr>
        <w:pStyle w:val="ArticleHeader"/>
        <w:rPr>
          <w:noProof/>
        </w:rPr>
      </w:pPr>
      <w:r w:rsidRPr="001631CD">
        <w:rPr>
          <w:noProof/>
        </w:rPr>
        <w:t>REPORTS</w:t>
      </w:r>
    </w:p>
    <w:p w14:paraId="656F8B8F" w14:textId="77777777" w:rsidR="00CE1AA5" w:rsidRPr="001631CD" w:rsidRDefault="00CE1AA5" w:rsidP="00E32AC8">
      <w:pPr>
        <w:keepNext/>
        <w:rPr>
          <w:noProof/>
        </w:rPr>
      </w:pPr>
    </w:p>
    <w:p w14:paraId="0349D661" w14:textId="77777777" w:rsidR="00CE1AA5" w:rsidRPr="001631CD" w:rsidRDefault="00CE1AA5" w:rsidP="00E32AC8">
      <w:pPr>
        <w:pStyle w:val="ArticleParagraph-A"/>
        <w:keepNext/>
        <w:rPr>
          <w:noProof/>
        </w:rPr>
      </w:pPr>
      <w:r w:rsidRPr="001631CD">
        <w:rPr>
          <w:noProof/>
        </w:rPr>
        <w:t>A.</w:t>
      </w:r>
      <w:r w:rsidRPr="001631CD">
        <w:rPr>
          <w:noProof/>
        </w:rPr>
        <w:tab/>
        <w:t>Type of Reports</w:t>
      </w:r>
    </w:p>
    <w:p w14:paraId="42B1EA28" w14:textId="77777777" w:rsidR="00CE1AA5" w:rsidRPr="001631CD" w:rsidRDefault="00CE1AA5" w:rsidP="00E32AC8">
      <w:pPr>
        <w:keepNext/>
        <w:rPr>
          <w:noProof/>
        </w:rPr>
      </w:pPr>
    </w:p>
    <w:p w14:paraId="72176896" w14:textId="0A0D8BED" w:rsidR="00120133" w:rsidRPr="0008790C" w:rsidRDefault="00CE1AA5" w:rsidP="0008790C">
      <w:pPr>
        <w:pStyle w:val="ArticleParagraph-Asub"/>
        <w:rPr>
          <w:noProof/>
        </w:rPr>
      </w:pPr>
      <w:r w:rsidRPr="001631CD">
        <w:rPr>
          <w:noProof/>
        </w:rPr>
        <w:t xml:space="preserve">The Subcontractor shall prepare and submit reports </w:t>
      </w:r>
      <w:r w:rsidR="00044E1D">
        <w:rPr>
          <w:noProof/>
        </w:rPr>
        <w:t>as described in the Statement of Work.</w:t>
      </w:r>
    </w:p>
    <w:p w14:paraId="2D558F2C" w14:textId="77777777" w:rsidR="00120133" w:rsidRDefault="00120133" w:rsidP="00044E1D">
      <w:pPr>
        <w:pStyle w:val="A"/>
        <w:keepNext w:val="0"/>
        <w:widowControl w:val="0"/>
        <w:ind w:left="0" w:firstLine="0"/>
      </w:pPr>
    </w:p>
    <w:p w14:paraId="109C79C0" w14:textId="77777777" w:rsidR="00044E1D" w:rsidRPr="00801F0F" w:rsidRDefault="00044E1D" w:rsidP="00044E1D">
      <w:pPr>
        <w:pStyle w:val="A"/>
        <w:keepNext w:val="0"/>
        <w:widowControl w:val="0"/>
      </w:pPr>
      <w:r w:rsidRPr="00801F0F">
        <w:t>B.</w:t>
      </w:r>
      <w:r w:rsidRPr="00801F0F">
        <w:tab/>
        <w:t>Distribution of Reports</w:t>
      </w:r>
    </w:p>
    <w:p w14:paraId="5DF77532" w14:textId="77777777" w:rsidR="00044E1D" w:rsidRPr="00801F0F" w:rsidRDefault="00044E1D" w:rsidP="00044E1D">
      <w:pPr>
        <w:pStyle w:val="A"/>
        <w:keepNext w:val="0"/>
        <w:widowControl w:val="0"/>
      </w:pPr>
    </w:p>
    <w:p w14:paraId="7957D837" w14:textId="12639C1D" w:rsidR="00044E1D" w:rsidRDefault="00044E1D" w:rsidP="00044E1D">
      <w:pPr>
        <w:pStyle w:val="Table12Point"/>
        <w:widowControl w:val="0"/>
        <w:tabs>
          <w:tab w:val="left" w:pos="5670"/>
        </w:tabs>
        <w:ind w:left="720"/>
        <w:jc w:val="both"/>
      </w:pPr>
      <w:r w:rsidRPr="00CD27AA">
        <w:t xml:space="preserve">The Subcontractor shall submit </w:t>
      </w:r>
      <w:r>
        <w:t xml:space="preserve">reports </w:t>
      </w:r>
      <w:r w:rsidRPr="00CD27AA">
        <w:t>electronically by E-Mail</w:t>
      </w:r>
      <w:r>
        <w:t xml:space="preserve"> to the following national laboratory personnel</w:t>
      </w:r>
      <w:r w:rsidRPr="00CD27AA">
        <w:t>.</w:t>
      </w:r>
    </w:p>
    <w:p w14:paraId="3A0E9E6E" w14:textId="77777777" w:rsidR="00044E1D" w:rsidRDefault="00044E1D" w:rsidP="00044E1D">
      <w:pPr>
        <w:pStyle w:val="Table12Point"/>
        <w:widowControl w:val="0"/>
        <w:tabs>
          <w:tab w:val="left" w:pos="5670"/>
        </w:tabs>
        <w:ind w:left="720"/>
        <w:jc w:val="both"/>
      </w:pPr>
    </w:p>
    <w:tbl>
      <w:tblPr>
        <w:tblStyle w:val="TableGrid"/>
        <w:tblW w:w="6547" w:type="dxa"/>
        <w:tblInd w:w="2268" w:type="dxa"/>
        <w:tblLook w:val="04A0" w:firstRow="1" w:lastRow="0" w:firstColumn="1" w:lastColumn="0" w:noHBand="0" w:noVBand="1"/>
      </w:tblPr>
      <w:tblGrid>
        <w:gridCol w:w="2520"/>
        <w:gridCol w:w="4027"/>
      </w:tblGrid>
      <w:tr w:rsidR="00044E1D" w14:paraId="1A960606" w14:textId="77777777" w:rsidTr="00373FDA">
        <w:trPr>
          <w:tblHeader/>
        </w:trPr>
        <w:tc>
          <w:tcPr>
            <w:tcW w:w="2520" w:type="dxa"/>
          </w:tcPr>
          <w:p w14:paraId="5DE0C3E4" w14:textId="77777777" w:rsidR="00044E1D" w:rsidRPr="006F2F12" w:rsidRDefault="00044E1D" w:rsidP="00373FDA">
            <w:pPr>
              <w:pStyle w:val="Table12Point"/>
              <w:widowControl w:val="0"/>
              <w:tabs>
                <w:tab w:val="left" w:pos="5670"/>
              </w:tabs>
              <w:jc w:val="both"/>
              <w:rPr>
                <w:b/>
                <w:sz w:val="20"/>
                <w:szCs w:val="20"/>
              </w:rPr>
            </w:pPr>
            <w:r w:rsidRPr="006F2F12">
              <w:rPr>
                <w:b/>
                <w:sz w:val="20"/>
                <w:szCs w:val="20"/>
              </w:rPr>
              <w:t>Name</w:t>
            </w:r>
          </w:p>
        </w:tc>
        <w:tc>
          <w:tcPr>
            <w:tcW w:w="4027" w:type="dxa"/>
          </w:tcPr>
          <w:p w14:paraId="12C7EB2E" w14:textId="77777777" w:rsidR="00044E1D" w:rsidRPr="006F2F12" w:rsidRDefault="00044E1D" w:rsidP="00373FDA">
            <w:pPr>
              <w:pStyle w:val="Table12Point"/>
              <w:widowControl w:val="0"/>
              <w:tabs>
                <w:tab w:val="left" w:pos="5670"/>
              </w:tabs>
              <w:jc w:val="both"/>
              <w:rPr>
                <w:b/>
                <w:sz w:val="20"/>
                <w:szCs w:val="20"/>
              </w:rPr>
            </w:pPr>
            <w:r w:rsidRPr="006F2F12">
              <w:rPr>
                <w:b/>
                <w:sz w:val="20"/>
                <w:szCs w:val="20"/>
              </w:rPr>
              <w:t>E-Mail Address</w:t>
            </w:r>
          </w:p>
        </w:tc>
      </w:tr>
      <w:tr w:rsidR="00044E1D" w14:paraId="0DCE97B0" w14:textId="77777777" w:rsidTr="00373FDA">
        <w:tc>
          <w:tcPr>
            <w:tcW w:w="2520" w:type="dxa"/>
          </w:tcPr>
          <w:p w14:paraId="0871E482" w14:textId="77777777" w:rsidR="00044E1D" w:rsidRPr="008A2DA8" w:rsidRDefault="00044E1D" w:rsidP="00373FDA">
            <w:pPr>
              <w:pStyle w:val="Table12Point"/>
              <w:widowControl w:val="0"/>
              <w:tabs>
                <w:tab w:val="left" w:pos="5670"/>
              </w:tabs>
              <w:jc w:val="both"/>
              <w:rPr>
                <w:sz w:val="20"/>
                <w:szCs w:val="20"/>
              </w:rPr>
            </w:pPr>
            <w:r w:rsidRPr="008A2DA8">
              <w:rPr>
                <w:sz w:val="20"/>
                <w:szCs w:val="20"/>
              </w:rPr>
              <w:t>Gary Ward</w:t>
            </w:r>
          </w:p>
        </w:tc>
        <w:tc>
          <w:tcPr>
            <w:tcW w:w="4027" w:type="dxa"/>
          </w:tcPr>
          <w:p w14:paraId="1457F7EA" w14:textId="77777777" w:rsidR="00044E1D" w:rsidRPr="008A2DA8" w:rsidRDefault="007766BC" w:rsidP="00373FDA">
            <w:pPr>
              <w:pStyle w:val="Table12Point"/>
              <w:widowControl w:val="0"/>
              <w:tabs>
                <w:tab w:val="left" w:pos="5670"/>
              </w:tabs>
              <w:jc w:val="both"/>
              <w:rPr>
                <w:sz w:val="20"/>
                <w:szCs w:val="20"/>
              </w:rPr>
            </w:pPr>
            <w:hyperlink r:id="rId19" w:history="1">
              <w:r w:rsidR="00044E1D" w:rsidRPr="008A2DA8">
                <w:rPr>
                  <w:rStyle w:val="Hyperlink"/>
                  <w:sz w:val="20"/>
                  <w:szCs w:val="20"/>
                </w:rPr>
                <w:t>ward31@llnl.gov</w:t>
              </w:r>
            </w:hyperlink>
            <w:r w:rsidR="00044E1D" w:rsidRPr="008A2DA8">
              <w:rPr>
                <w:sz w:val="20"/>
                <w:szCs w:val="20"/>
              </w:rPr>
              <w:t xml:space="preserve"> </w:t>
            </w:r>
          </w:p>
        </w:tc>
      </w:tr>
      <w:tr w:rsidR="00044E1D" w14:paraId="7B4BCA83" w14:textId="77777777" w:rsidTr="00373FDA">
        <w:tc>
          <w:tcPr>
            <w:tcW w:w="2520" w:type="dxa"/>
          </w:tcPr>
          <w:p w14:paraId="499DFFF2" w14:textId="1120D5C5" w:rsidR="00044E1D" w:rsidRPr="00E14710" w:rsidRDefault="00E4206F" w:rsidP="00373FDA">
            <w:pPr>
              <w:pStyle w:val="Table12Point"/>
              <w:widowControl w:val="0"/>
              <w:tabs>
                <w:tab w:val="left" w:pos="5670"/>
              </w:tabs>
              <w:jc w:val="both"/>
              <w:rPr>
                <w:sz w:val="20"/>
                <w:szCs w:val="20"/>
              </w:rPr>
            </w:pPr>
            <w:r>
              <w:rPr>
                <w:sz w:val="20"/>
                <w:szCs w:val="20"/>
              </w:rPr>
              <w:t>TBD</w:t>
            </w:r>
          </w:p>
        </w:tc>
        <w:tc>
          <w:tcPr>
            <w:tcW w:w="4027" w:type="dxa"/>
          </w:tcPr>
          <w:p w14:paraId="4D70CBEB" w14:textId="575FA951" w:rsidR="00044E1D" w:rsidRPr="008A2DA8" w:rsidRDefault="00E4206F" w:rsidP="00373FDA">
            <w:pPr>
              <w:pStyle w:val="Table12Point"/>
              <w:widowControl w:val="0"/>
              <w:tabs>
                <w:tab w:val="left" w:pos="5670"/>
              </w:tabs>
              <w:jc w:val="both"/>
              <w:rPr>
                <w:rStyle w:val="Hyperlink"/>
                <w:sz w:val="20"/>
                <w:szCs w:val="20"/>
              </w:rPr>
            </w:pPr>
            <w:r>
              <w:rPr>
                <w:rStyle w:val="Hyperlink"/>
                <w:sz w:val="20"/>
                <w:szCs w:val="20"/>
              </w:rPr>
              <w:t>TBD</w:t>
            </w:r>
          </w:p>
        </w:tc>
      </w:tr>
      <w:tr w:rsidR="00E4206F" w14:paraId="23326CFD" w14:textId="77777777" w:rsidTr="00373FDA">
        <w:tc>
          <w:tcPr>
            <w:tcW w:w="2520" w:type="dxa"/>
          </w:tcPr>
          <w:p w14:paraId="25A5031F" w14:textId="411066BB" w:rsidR="00E4206F" w:rsidRPr="00E14710" w:rsidRDefault="00E4206F" w:rsidP="00E4206F">
            <w:pPr>
              <w:pStyle w:val="Table12Point"/>
              <w:widowControl w:val="0"/>
              <w:tabs>
                <w:tab w:val="left" w:pos="5670"/>
              </w:tabs>
              <w:jc w:val="both"/>
              <w:rPr>
                <w:sz w:val="20"/>
                <w:szCs w:val="20"/>
              </w:rPr>
            </w:pPr>
            <w:r>
              <w:rPr>
                <w:sz w:val="20"/>
                <w:szCs w:val="20"/>
              </w:rPr>
              <w:lastRenderedPageBreak/>
              <w:t>TBD</w:t>
            </w:r>
          </w:p>
        </w:tc>
        <w:tc>
          <w:tcPr>
            <w:tcW w:w="4027" w:type="dxa"/>
          </w:tcPr>
          <w:p w14:paraId="467575BB" w14:textId="2D41F977" w:rsidR="00E4206F" w:rsidRPr="008A2DA8" w:rsidRDefault="00E4206F" w:rsidP="00E4206F">
            <w:pPr>
              <w:pStyle w:val="Table12Point"/>
              <w:widowControl w:val="0"/>
              <w:tabs>
                <w:tab w:val="left" w:pos="5670"/>
              </w:tabs>
              <w:jc w:val="both"/>
              <w:rPr>
                <w:sz w:val="20"/>
                <w:szCs w:val="20"/>
              </w:rPr>
            </w:pPr>
            <w:r>
              <w:rPr>
                <w:rStyle w:val="Hyperlink"/>
                <w:sz w:val="20"/>
                <w:szCs w:val="20"/>
              </w:rPr>
              <w:t>TBD</w:t>
            </w:r>
          </w:p>
        </w:tc>
      </w:tr>
    </w:tbl>
    <w:p w14:paraId="1EF393F2" w14:textId="77777777" w:rsidR="00044E1D" w:rsidRPr="001631CD" w:rsidRDefault="00044E1D" w:rsidP="00E32AC8">
      <w:pPr>
        <w:keepNext/>
        <w:rPr>
          <w:noProof/>
        </w:rPr>
      </w:pPr>
    </w:p>
    <w:p w14:paraId="0F0B6E44" w14:textId="77777777" w:rsidR="00CE1AA5" w:rsidRPr="001631CD" w:rsidRDefault="00CE1AA5" w:rsidP="00E32AC8">
      <w:pPr>
        <w:pStyle w:val="ArticleParagraph-Asub"/>
        <w:rPr>
          <w:noProof/>
        </w:rPr>
      </w:pPr>
      <w:r w:rsidRPr="001631CD">
        <w:rPr>
          <w:noProof/>
        </w:rPr>
        <w:t xml:space="preserve">With the exception of an authorized representative of DOE/NNSA and those indicated above, the Subcontractor shall not distribute reports of work under this Subcontract to any individual or organization without prior written approval of the LLNS Contract </w:t>
      </w:r>
      <w:r w:rsidRPr="00E33A9C">
        <w:rPr>
          <w:noProof/>
        </w:rPr>
        <w:t>Analyst</w:t>
      </w:r>
      <w:r w:rsidRPr="001631CD">
        <w:rPr>
          <w:noProof/>
        </w:rPr>
        <w:t>.</w:t>
      </w:r>
    </w:p>
    <w:p w14:paraId="4491D05D" w14:textId="77777777" w:rsidR="00CE1AA5" w:rsidRPr="001631CD" w:rsidRDefault="00CE1AA5" w:rsidP="00E32AC8">
      <w:pPr>
        <w:rPr>
          <w:noProof/>
        </w:rPr>
      </w:pPr>
    </w:p>
    <w:p w14:paraId="28F35954" w14:textId="77777777" w:rsidR="00CE1AA5" w:rsidRPr="001631CD" w:rsidRDefault="00CE1AA5" w:rsidP="00E32AC8">
      <w:pPr>
        <w:pStyle w:val="ArticleParagraph-A"/>
        <w:keepNext/>
        <w:rPr>
          <w:noProof/>
        </w:rPr>
      </w:pPr>
      <w:r w:rsidRPr="001631CD">
        <w:rPr>
          <w:noProof/>
        </w:rPr>
        <w:t>C.</w:t>
      </w:r>
      <w:r w:rsidRPr="001631CD">
        <w:rPr>
          <w:noProof/>
        </w:rPr>
        <w:tab/>
        <w:t>Interim Reports</w:t>
      </w:r>
    </w:p>
    <w:p w14:paraId="1AB6A151" w14:textId="77777777" w:rsidR="00CE1AA5" w:rsidRPr="001631CD" w:rsidRDefault="00CE1AA5" w:rsidP="00E32AC8">
      <w:pPr>
        <w:keepNext/>
        <w:rPr>
          <w:noProof/>
        </w:rPr>
      </w:pPr>
    </w:p>
    <w:p w14:paraId="6B5763EF" w14:textId="77777777" w:rsidR="00CE1AA5" w:rsidRPr="001631CD" w:rsidRDefault="00CE1AA5" w:rsidP="00E32AC8">
      <w:pPr>
        <w:pStyle w:val="ArticleParagraph-Asub"/>
        <w:rPr>
          <w:noProof/>
        </w:rPr>
      </w:pPr>
      <w:r w:rsidRPr="001631CD">
        <w:rPr>
          <w:noProof/>
        </w:rPr>
        <w:t>It is understood there will be other information exchanged between the parties from time to time.  Such data may be exchanged directly between the parties concerned; formal reporting and distribution is not required in these cases.</w:t>
      </w:r>
    </w:p>
    <w:p w14:paraId="12A1BAEB" w14:textId="77777777" w:rsidR="00CE1AA5" w:rsidRPr="00A935B8" w:rsidRDefault="00CE1AA5" w:rsidP="007E65BC">
      <w:pPr>
        <w:rPr>
          <w:noProof/>
          <w:highlight w:val="yellow"/>
        </w:rPr>
      </w:pPr>
    </w:p>
    <w:p w14:paraId="53F8157D" w14:textId="77777777" w:rsidR="00E9175C" w:rsidRPr="006963D5" w:rsidRDefault="00E9175C" w:rsidP="00E9175C">
      <w:pPr>
        <w:pStyle w:val="ArticleHeader"/>
        <w:rPr>
          <w:noProof/>
        </w:rPr>
      </w:pPr>
      <w:r w:rsidRPr="006963D5">
        <w:rPr>
          <w:noProof/>
        </w:rPr>
        <w:t>FOREIGN TRAVEL</w:t>
      </w:r>
    </w:p>
    <w:p w14:paraId="6F5D2E74" w14:textId="77777777" w:rsidR="00E9175C" w:rsidRPr="006963D5" w:rsidRDefault="00E9175C" w:rsidP="00E9175C">
      <w:pPr>
        <w:keepNext/>
        <w:rPr>
          <w:noProof/>
        </w:rPr>
      </w:pPr>
    </w:p>
    <w:p w14:paraId="64CC145F" w14:textId="77777777" w:rsidR="00E9175C" w:rsidRPr="006963D5" w:rsidRDefault="00E9175C" w:rsidP="00E9175C">
      <w:pPr>
        <w:pStyle w:val="ArticleParagraph-A"/>
        <w:rPr>
          <w:noProof/>
          <w:snapToGrid w:val="0"/>
        </w:rPr>
      </w:pPr>
      <w:r w:rsidRPr="006963D5">
        <w:rPr>
          <w:noProof/>
          <w:snapToGrid w:val="0"/>
        </w:rPr>
        <w:t>A.</w:t>
      </w:r>
      <w:r w:rsidRPr="006963D5">
        <w:rPr>
          <w:noProof/>
          <w:snapToGrid w:val="0"/>
        </w:rPr>
        <w:tab/>
        <w:t>Foreign travel is defined as travel (whether wholly or partly on official business) from the United States (including Alaska, Hawaii, the Commonwealths of Puerto Rico and the Northern Mariana Islands, and the territories and possessions of the United States) to a foreign country and return, and travel between foreign countries by persons, including foreign nationals.</w:t>
      </w:r>
    </w:p>
    <w:p w14:paraId="043660A6" w14:textId="77777777" w:rsidR="00E9175C" w:rsidRPr="006963D5" w:rsidRDefault="00E9175C" w:rsidP="00E9175C">
      <w:pPr>
        <w:rPr>
          <w:noProof/>
        </w:rPr>
      </w:pPr>
    </w:p>
    <w:p w14:paraId="35267581" w14:textId="77777777" w:rsidR="00E9175C" w:rsidRPr="006963D5" w:rsidRDefault="00E9175C" w:rsidP="00E9175C">
      <w:pPr>
        <w:pStyle w:val="ArticleParagraph-A"/>
        <w:rPr>
          <w:noProof/>
        </w:rPr>
      </w:pPr>
      <w:r w:rsidRPr="006963D5">
        <w:rPr>
          <w:noProof/>
        </w:rPr>
        <w:t>B.</w:t>
      </w:r>
      <w:r w:rsidRPr="006963D5">
        <w:rPr>
          <w:noProof/>
        </w:rPr>
        <w:tab/>
        <w:t xml:space="preserve">All foreign travel shall be subject to the prior approval of LLNS and DOE/NNSA for each separate trip, regardless of whether the costs are directly or indirectly charged.  </w:t>
      </w:r>
      <w:r w:rsidRPr="00A82BE0">
        <w:rPr>
          <w:noProof/>
        </w:rPr>
        <w:t>Airfare may be purchased upon written approval from LLNS.  Foreign travel must be approved by both LLNS and DOE/NNSA prior to the occurrence of the travel.  All forei</w:t>
      </w:r>
      <w:r w:rsidRPr="006963D5">
        <w:rPr>
          <w:noProof/>
        </w:rPr>
        <w:t xml:space="preserve">gn travel shall be conducted pursuant to the requirements contained in DOE Order O 551.1, Official Foreign Travel, or any subsequent version in effect at the time of award.  A </w:t>
      </w:r>
      <w:r w:rsidRPr="006963D5">
        <w:rPr>
          <w:i/>
          <w:noProof/>
        </w:rPr>
        <w:t>Request for Approval of Foreign Travel</w:t>
      </w:r>
      <w:r w:rsidRPr="006963D5">
        <w:rPr>
          <w:noProof/>
        </w:rPr>
        <w:t>, Form DOE F 551.1 shall be submitted to the LLNS Technical Representative at least 60 days prior to the planned departure date.</w:t>
      </w:r>
    </w:p>
    <w:p w14:paraId="1F76AE5B" w14:textId="77777777" w:rsidR="00E9175C" w:rsidRPr="006963D5" w:rsidRDefault="00E9175C" w:rsidP="00E9175C">
      <w:pPr>
        <w:rPr>
          <w:noProof/>
        </w:rPr>
      </w:pPr>
    </w:p>
    <w:p w14:paraId="270BA064" w14:textId="77777777" w:rsidR="00E9175C" w:rsidRPr="006963D5" w:rsidRDefault="00E9175C" w:rsidP="00E9175C">
      <w:pPr>
        <w:pStyle w:val="ArticleParagraph-Asub"/>
        <w:rPr>
          <w:i/>
          <w:iCs/>
          <w:noProof/>
          <w:snapToGrid w:val="0"/>
        </w:rPr>
      </w:pPr>
      <w:r w:rsidRPr="006963D5">
        <w:rPr>
          <w:noProof/>
        </w:rPr>
        <w:t>To access Form DOE F 551.1, copy and paste the following URL into your browser:</w:t>
      </w:r>
      <w:r w:rsidRPr="006963D5">
        <w:rPr>
          <w:noProof/>
          <w:snapToGrid w:val="0"/>
        </w:rPr>
        <w:t xml:space="preserve">  </w:t>
      </w:r>
      <w:r w:rsidRPr="006963D5">
        <w:rPr>
          <w:noProof/>
        </w:rPr>
        <w:t>https://ftms.doe.gov/TR_form.pdf</w:t>
      </w:r>
    </w:p>
    <w:p w14:paraId="0414F32D" w14:textId="77777777" w:rsidR="00E9175C" w:rsidRPr="006963D5" w:rsidRDefault="00E9175C" w:rsidP="00E9175C">
      <w:pPr>
        <w:pStyle w:val="ArticleParagraph-Asub"/>
        <w:rPr>
          <w:noProof/>
        </w:rPr>
      </w:pPr>
    </w:p>
    <w:p w14:paraId="32C1A678" w14:textId="77777777" w:rsidR="00E9175C" w:rsidRPr="006963D5" w:rsidRDefault="00E9175C" w:rsidP="00E9175C">
      <w:pPr>
        <w:pStyle w:val="ArticleParagraph-Asub"/>
        <w:keepNext/>
        <w:rPr>
          <w:noProof/>
        </w:rPr>
      </w:pPr>
      <w:r w:rsidRPr="006963D5">
        <w:rPr>
          <w:noProof/>
        </w:rPr>
        <w:t>Note:  The following listed items require re-approval of the trip request should they occur after the original request has been approved:</w:t>
      </w:r>
    </w:p>
    <w:p w14:paraId="4A1C0802" w14:textId="77777777" w:rsidR="00E9175C" w:rsidRPr="006963D5" w:rsidRDefault="00E9175C" w:rsidP="00E9175C">
      <w:pPr>
        <w:keepNext/>
        <w:rPr>
          <w:noProof/>
        </w:rPr>
      </w:pPr>
    </w:p>
    <w:p w14:paraId="306C1A55" w14:textId="77777777" w:rsidR="00E9175C" w:rsidRPr="000473B8" w:rsidRDefault="00E9175C" w:rsidP="00E9175C">
      <w:pPr>
        <w:pStyle w:val="ArticleParagraph-Abullet"/>
        <w:rPr>
          <w:noProof/>
        </w:rPr>
      </w:pPr>
      <w:r w:rsidRPr="000473B8">
        <w:rPr>
          <w:noProof/>
        </w:rPr>
        <w:t>Addition of one or more countries;</w:t>
      </w:r>
    </w:p>
    <w:p w14:paraId="3E3AEE0B" w14:textId="77777777" w:rsidR="00E9175C" w:rsidRPr="000473B8" w:rsidRDefault="00E9175C" w:rsidP="00E9175C">
      <w:pPr>
        <w:pStyle w:val="ArticleParagraph-Abullet"/>
        <w:rPr>
          <w:noProof/>
        </w:rPr>
      </w:pPr>
      <w:r w:rsidRPr="000473B8">
        <w:rPr>
          <w:noProof/>
        </w:rPr>
        <w:t>Change in trip sensitivity from non-sensitive to sensitive.</w:t>
      </w:r>
    </w:p>
    <w:p w14:paraId="75CAFA8D" w14:textId="77777777" w:rsidR="00E9175C" w:rsidRPr="006963D5" w:rsidRDefault="00E9175C" w:rsidP="00E9175C">
      <w:pPr>
        <w:rPr>
          <w:noProof/>
          <w:snapToGrid w:val="0"/>
        </w:rPr>
      </w:pPr>
    </w:p>
    <w:p w14:paraId="06FAFC45" w14:textId="77777777" w:rsidR="00E9175C" w:rsidRDefault="00E9175C" w:rsidP="00E9175C">
      <w:pPr>
        <w:pStyle w:val="ArticleParagraph-A"/>
        <w:rPr>
          <w:noProof/>
          <w:snapToGrid w:val="0"/>
        </w:rPr>
      </w:pPr>
      <w:r>
        <w:rPr>
          <w:noProof/>
          <w:snapToGrid w:val="0"/>
        </w:rPr>
        <w:t>C</w:t>
      </w:r>
      <w:r w:rsidRPr="006963D5">
        <w:rPr>
          <w:noProof/>
          <w:snapToGrid w:val="0"/>
        </w:rPr>
        <w:t>.</w:t>
      </w:r>
      <w:r w:rsidRPr="006963D5">
        <w:rPr>
          <w:noProof/>
          <w:snapToGrid w:val="0"/>
        </w:rPr>
        <w:tab/>
        <w:t xml:space="preserve">Additionally, the Subcontractor shall coordinate with the LLNS Technical Representative to verify if the foreign destination is on the </w:t>
      </w:r>
      <w:r w:rsidRPr="006963D5">
        <w:rPr>
          <w:i/>
          <w:noProof/>
          <w:snapToGrid w:val="0"/>
        </w:rPr>
        <w:t>DOE List of Sensitive Countries</w:t>
      </w:r>
      <w:r w:rsidRPr="006963D5">
        <w:rPr>
          <w:noProof/>
          <w:snapToGrid w:val="0"/>
        </w:rPr>
        <w:t>. If traveling to a sensitive country, the Subcontractor must be pre-briefed 30 days prior to departure and debriefed upon return.  Contact the LLNL Counterintelligence Program Office at (925) 422-5557 to schedule all briefings.  The Subcontractor shall also assist the LLNS Technical Representative with completion of all required forms to be submitted to the Export Control Office when traveling to a sensitive country.</w:t>
      </w:r>
    </w:p>
    <w:p w14:paraId="65AC9F15" w14:textId="77777777" w:rsidR="00E9175C" w:rsidRDefault="00E9175C" w:rsidP="00E9175C">
      <w:pPr>
        <w:pStyle w:val="ArticleParagraph-A"/>
        <w:rPr>
          <w:noProof/>
          <w:snapToGrid w:val="0"/>
        </w:rPr>
      </w:pPr>
    </w:p>
    <w:p w14:paraId="2A5FD56D" w14:textId="77777777" w:rsidR="00E9175C" w:rsidRPr="005B7CCE" w:rsidRDefault="00E9175C" w:rsidP="00E9175C">
      <w:pPr>
        <w:pStyle w:val="ArticleParagraph-A"/>
        <w:rPr>
          <w:noProof/>
          <w:snapToGrid w:val="0"/>
        </w:rPr>
      </w:pPr>
      <w:r>
        <w:rPr>
          <w:noProof/>
        </w:rPr>
        <w:t>D</w:t>
      </w:r>
      <w:r w:rsidRPr="005B7CCE">
        <w:rPr>
          <w:noProof/>
        </w:rPr>
        <w:t>.</w:t>
      </w:r>
      <w:r w:rsidRPr="005B7CCE">
        <w:rPr>
          <w:noProof/>
        </w:rPr>
        <w:tab/>
        <w:t xml:space="preserve">Access to LLNL data while on foreign travel shall be in accordance with LLNL's  Cyber Security Program Policy 2360, </w:t>
      </w:r>
      <w:r w:rsidRPr="005B7CCE">
        <w:rPr>
          <w:i/>
          <w:noProof/>
        </w:rPr>
        <w:t>Taking LLNL Portable Computing Resources and Data on Foreign Travel</w:t>
      </w:r>
      <w:r w:rsidRPr="005B7CCE">
        <w:rPr>
          <w:noProof/>
        </w:rPr>
        <w:t xml:space="preserve">, </w:t>
      </w:r>
      <w:r w:rsidRPr="005B7CCE">
        <w:rPr>
          <w:noProof/>
        </w:rPr>
        <w:lastRenderedPageBreak/>
        <w:t xml:space="preserve">requirements.  A copy of the requirements will be furnished upon request.  The Subcontractor shall coordinate with the LLNS Technical Representative to confirm compliance with the requirements and obtain the requisite equipment.  The Subcontractor shall not use its own computing resources (computers, tablets, and removable storage devices), including Subcontractor employee personal computing resources, to access LLNL data while on foreign travel.  LLNL data taken on foreign travel shall be encrypted in accordance with the </w:t>
      </w:r>
      <w:r w:rsidRPr="005B7CCE">
        <w:rPr>
          <w:i/>
          <w:noProof/>
        </w:rPr>
        <w:t>USE AND RELEASE RESTRICTIONS FOR PROTECTED INFORMATION</w:t>
      </w:r>
      <w:r w:rsidRPr="005B7CCE">
        <w:rPr>
          <w:noProof/>
        </w:rPr>
        <w:t xml:space="preserve"> clause of the GENERAL PROVISIONS.</w:t>
      </w:r>
    </w:p>
    <w:p w14:paraId="7A561888" w14:textId="77777777" w:rsidR="00E9175C" w:rsidRDefault="00E9175C" w:rsidP="00D77989">
      <w:pPr>
        <w:pStyle w:val="ArticleHeader"/>
        <w:numPr>
          <w:ilvl w:val="0"/>
          <w:numId w:val="0"/>
        </w:numPr>
        <w:ind w:left="720"/>
        <w:rPr>
          <w:noProof/>
        </w:rPr>
      </w:pPr>
    </w:p>
    <w:p w14:paraId="618C7CD8" w14:textId="27837CC3" w:rsidR="00CE1AA5" w:rsidRPr="00FF70DA" w:rsidRDefault="00CE1AA5" w:rsidP="00683387">
      <w:pPr>
        <w:pStyle w:val="ArticleHeader"/>
        <w:rPr>
          <w:noProof/>
        </w:rPr>
      </w:pPr>
      <w:r w:rsidRPr="00FF70DA">
        <w:rPr>
          <w:noProof/>
        </w:rPr>
        <w:t>KEY PERSONNEL</w:t>
      </w:r>
    </w:p>
    <w:p w14:paraId="659E6280" w14:textId="77777777" w:rsidR="00CE1AA5" w:rsidRPr="00FF70DA" w:rsidRDefault="00CE1AA5" w:rsidP="007E65BC">
      <w:pPr>
        <w:keepNext/>
        <w:rPr>
          <w:noProof/>
        </w:rPr>
      </w:pPr>
    </w:p>
    <w:p w14:paraId="0835C842" w14:textId="77777777" w:rsidR="00CE1AA5" w:rsidRPr="00FF70DA" w:rsidRDefault="00CE1AA5" w:rsidP="007E65BC">
      <w:pPr>
        <w:pStyle w:val="ArticleParagraph-A"/>
        <w:rPr>
          <w:noProof/>
        </w:rPr>
      </w:pPr>
      <w:r w:rsidRPr="00FF70DA">
        <w:rPr>
          <w:noProof/>
        </w:rPr>
        <w:t>A.</w:t>
      </w:r>
      <w:r w:rsidRPr="00FF70DA">
        <w:rPr>
          <w:noProof/>
        </w:rPr>
        <w:tab/>
        <w:t xml:space="preserve">The personnel specified below are deemed key personnel.  The Subcontractor shall assign such individual(s) to this Subcontract to perform the duties proposed.  All key personnel shall perform their duties in a professional manner consistent with the requirements of the position.  No removal, replacement, or diversion shall be made by the Subcontractor without the written consent of the LLNS Contract </w:t>
      </w:r>
      <w:r w:rsidRPr="00E33A9C">
        <w:rPr>
          <w:noProof/>
        </w:rPr>
        <w:t>Analyst</w:t>
      </w:r>
      <w:r w:rsidRPr="00972DFE">
        <w:rPr>
          <w:noProof/>
          <w:color w:val="000000" w:themeColor="text1"/>
        </w:rPr>
        <w:t>.</w:t>
      </w:r>
    </w:p>
    <w:p w14:paraId="125033D7" w14:textId="77777777" w:rsidR="00CE1AA5" w:rsidRPr="00FF70DA" w:rsidRDefault="00CE1AA5" w:rsidP="007E65BC">
      <w:pPr>
        <w:pStyle w:val="ArticleParagraph-A"/>
        <w:rPr>
          <w:noProof/>
        </w:rPr>
      </w:pPr>
    </w:p>
    <w:p w14:paraId="29E18ADC" w14:textId="77777777" w:rsidR="00CE1AA5" w:rsidRPr="00FF70DA" w:rsidRDefault="00CE1AA5" w:rsidP="007E65BC">
      <w:pPr>
        <w:pStyle w:val="ArticleParagraph-A"/>
        <w:rPr>
          <w:noProof/>
        </w:rPr>
      </w:pPr>
      <w:r w:rsidRPr="00FF70DA">
        <w:rPr>
          <w:noProof/>
        </w:rPr>
        <w:t>B.</w:t>
      </w:r>
      <w:r w:rsidRPr="00FF70DA">
        <w:rPr>
          <w:noProof/>
        </w:rPr>
        <w:tab/>
        <w:t xml:space="preserve">If at any time after award the Subcontractor becomes aware that any key personnel is/are unable or unwilling to perform as the key personnel, the Subcontractor shall immediately notify the LLNS Contract </w:t>
      </w:r>
      <w:r w:rsidRPr="00E33A9C">
        <w:rPr>
          <w:noProof/>
        </w:rPr>
        <w:t>Analyst</w:t>
      </w:r>
      <w:r w:rsidRPr="00FF70DA">
        <w:rPr>
          <w:noProof/>
        </w:rPr>
        <w:t xml:space="preserve"> in writing.</w:t>
      </w:r>
    </w:p>
    <w:p w14:paraId="4C98E5E6" w14:textId="77777777" w:rsidR="00CE1AA5" w:rsidRPr="00FF70DA" w:rsidRDefault="00CE1AA5" w:rsidP="007E65BC">
      <w:pPr>
        <w:pStyle w:val="ArticleParagraph-A"/>
        <w:rPr>
          <w:noProof/>
        </w:rPr>
      </w:pPr>
    </w:p>
    <w:p w14:paraId="20B88970" w14:textId="77777777" w:rsidR="00CE1AA5" w:rsidRPr="00FF70DA" w:rsidRDefault="00CE1AA5" w:rsidP="007E65BC">
      <w:pPr>
        <w:pStyle w:val="ArticleParagraph-A"/>
        <w:rPr>
          <w:noProof/>
        </w:rPr>
      </w:pPr>
      <w:r w:rsidRPr="00FF70DA">
        <w:rPr>
          <w:noProof/>
        </w:rPr>
        <w:t>C.</w:t>
      </w:r>
      <w:r w:rsidRPr="00FF70DA">
        <w:rPr>
          <w:noProof/>
        </w:rPr>
        <w:tab/>
        <w:t xml:space="preserve">If any key personnel is/are to be substituted or replaced as provided above, the Subcontractor shall propose candidate(s) who meet the same or substantially similar qualifications (i.e., education, experience and other professional requirements) as the key personnel being substituted or replaced.  The Subcontractor shall submit a current copy of the résumé, or similar document, demonstrating that the candidate(s) is/are qualified for the position(s) being filled to the LLNS Contract </w:t>
      </w:r>
      <w:r w:rsidRPr="00E33A9C">
        <w:rPr>
          <w:noProof/>
        </w:rPr>
        <w:t>Analyst</w:t>
      </w:r>
      <w:r w:rsidRPr="00972DFE">
        <w:rPr>
          <w:noProof/>
          <w:color w:val="000000" w:themeColor="text1"/>
        </w:rPr>
        <w:t xml:space="preserve"> </w:t>
      </w:r>
      <w:r w:rsidRPr="00FF70DA">
        <w:rPr>
          <w:noProof/>
        </w:rPr>
        <w:t>and provide any other information about such proposed candidate(s) sufficient for LLNS to determine the proposed candidate(s) can satisfactorily perform the duties of the key personnel.</w:t>
      </w:r>
    </w:p>
    <w:p w14:paraId="627D6234" w14:textId="77777777" w:rsidR="00CE1AA5" w:rsidRPr="00FF70DA" w:rsidRDefault="00CE1AA5" w:rsidP="007E65BC">
      <w:pPr>
        <w:pStyle w:val="ArticleParagraph-A"/>
        <w:rPr>
          <w:noProof/>
        </w:rPr>
      </w:pPr>
    </w:p>
    <w:p w14:paraId="7F2D60E5" w14:textId="4832DF48" w:rsidR="00CE1AA5" w:rsidRPr="00FF70DA" w:rsidRDefault="00CE1AA5" w:rsidP="007E65BC">
      <w:pPr>
        <w:pStyle w:val="ArticleParagraph-A"/>
        <w:keepNext/>
        <w:rPr>
          <w:noProof/>
        </w:rPr>
      </w:pPr>
      <w:r w:rsidRPr="00FF70DA">
        <w:rPr>
          <w:noProof/>
        </w:rPr>
        <w:t>D.</w:t>
      </w:r>
      <w:r w:rsidRPr="00FF70DA">
        <w:rPr>
          <w:noProof/>
        </w:rPr>
        <w:tab/>
        <w:t>The following individuals are assigned as key personnel under this Subcontract</w:t>
      </w:r>
      <w:r w:rsidR="00120133">
        <w:rPr>
          <w:noProof/>
        </w:rPr>
        <w:t>.</w:t>
      </w:r>
    </w:p>
    <w:p w14:paraId="0AEB22A3" w14:textId="77777777" w:rsidR="00CE1AA5" w:rsidRDefault="00CE1AA5" w:rsidP="007E65BC">
      <w:pPr>
        <w:keepNext/>
        <w:rPr>
          <w:noProof/>
        </w:rPr>
      </w:pPr>
    </w:p>
    <w:tbl>
      <w:tblPr>
        <w:tblStyle w:val="TableGrid"/>
        <w:tblW w:w="0" w:type="auto"/>
        <w:tblInd w:w="828" w:type="dxa"/>
        <w:tblLook w:val="04A0" w:firstRow="1" w:lastRow="0" w:firstColumn="1" w:lastColumn="0" w:noHBand="0" w:noVBand="1"/>
      </w:tblPr>
      <w:tblGrid>
        <w:gridCol w:w="4658"/>
        <w:gridCol w:w="4584"/>
      </w:tblGrid>
      <w:tr w:rsidR="00CE1AA5" w:rsidRPr="00D83BC3" w14:paraId="106E3690" w14:textId="77777777" w:rsidTr="001C1EF7">
        <w:tc>
          <w:tcPr>
            <w:tcW w:w="4658" w:type="dxa"/>
            <w:shd w:val="clear" w:color="auto" w:fill="D9D9D9" w:themeFill="background1" w:themeFillShade="D9"/>
          </w:tcPr>
          <w:p w14:paraId="799C7AFD" w14:textId="77777777" w:rsidR="00CE1AA5" w:rsidRPr="00973973" w:rsidRDefault="00CE1AA5" w:rsidP="00F40B19">
            <w:pPr>
              <w:keepNext/>
              <w:rPr>
                <w:b/>
                <w:noProof/>
                <w:sz w:val="20"/>
                <w:szCs w:val="20"/>
              </w:rPr>
            </w:pPr>
            <w:r w:rsidRPr="00973973">
              <w:rPr>
                <w:b/>
                <w:noProof/>
                <w:sz w:val="20"/>
                <w:szCs w:val="20"/>
              </w:rPr>
              <w:t>Name</w:t>
            </w:r>
          </w:p>
        </w:tc>
        <w:tc>
          <w:tcPr>
            <w:tcW w:w="4584" w:type="dxa"/>
            <w:shd w:val="clear" w:color="auto" w:fill="D9D9D9" w:themeFill="background1" w:themeFillShade="D9"/>
          </w:tcPr>
          <w:p w14:paraId="03272976" w14:textId="77777777" w:rsidR="00CE1AA5" w:rsidRPr="00973973" w:rsidRDefault="00CE1AA5" w:rsidP="00F40B19">
            <w:pPr>
              <w:keepNext/>
              <w:rPr>
                <w:b/>
                <w:noProof/>
                <w:sz w:val="20"/>
                <w:szCs w:val="20"/>
              </w:rPr>
            </w:pPr>
            <w:r w:rsidRPr="00973973">
              <w:rPr>
                <w:b/>
                <w:noProof/>
                <w:sz w:val="20"/>
                <w:szCs w:val="20"/>
              </w:rPr>
              <w:t>Title</w:t>
            </w:r>
          </w:p>
        </w:tc>
      </w:tr>
      <w:tr w:rsidR="00CE1AA5" w14:paraId="5E45AB32" w14:textId="77777777" w:rsidTr="001C1EF7">
        <w:tc>
          <w:tcPr>
            <w:tcW w:w="4658" w:type="dxa"/>
          </w:tcPr>
          <w:p w14:paraId="6F2FE99C" w14:textId="0729FD7E" w:rsidR="00CE1AA5" w:rsidRPr="00973973" w:rsidRDefault="001C1EF7" w:rsidP="00F40B19">
            <w:pPr>
              <w:rPr>
                <w:noProof/>
                <w:sz w:val="20"/>
                <w:szCs w:val="20"/>
              </w:rPr>
            </w:pPr>
            <w:r w:rsidRPr="00973973">
              <w:rPr>
                <w:noProof/>
                <w:sz w:val="20"/>
                <w:szCs w:val="20"/>
              </w:rPr>
              <w:t>TBD</w:t>
            </w:r>
          </w:p>
        </w:tc>
        <w:tc>
          <w:tcPr>
            <w:tcW w:w="4584" w:type="dxa"/>
          </w:tcPr>
          <w:p w14:paraId="1C21F877" w14:textId="724B55D7" w:rsidR="00CE1AA5" w:rsidRPr="00973973" w:rsidRDefault="001C1EF7" w:rsidP="00F40B19">
            <w:pPr>
              <w:rPr>
                <w:noProof/>
                <w:sz w:val="20"/>
                <w:szCs w:val="20"/>
              </w:rPr>
            </w:pPr>
            <w:r w:rsidRPr="00973973">
              <w:rPr>
                <w:noProof/>
                <w:sz w:val="20"/>
                <w:szCs w:val="20"/>
              </w:rPr>
              <w:t>TBD</w:t>
            </w:r>
          </w:p>
        </w:tc>
      </w:tr>
      <w:tr w:rsidR="001C1EF7" w14:paraId="5201A386" w14:textId="77777777" w:rsidTr="001C1EF7">
        <w:tc>
          <w:tcPr>
            <w:tcW w:w="4658" w:type="dxa"/>
          </w:tcPr>
          <w:p w14:paraId="31C57F52" w14:textId="6ED0B9C6" w:rsidR="001C1EF7" w:rsidRPr="00973973" w:rsidRDefault="001C1EF7" w:rsidP="001C1EF7">
            <w:pPr>
              <w:rPr>
                <w:noProof/>
                <w:sz w:val="20"/>
                <w:szCs w:val="20"/>
              </w:rPr>
            </w:pPr>
            <w:r w:rsidRPr="00973973">
              <w:rPr>
                <w:noProof/>
                <w:sz w:val="20"/>
                <w:szCs w:val="20"/>
              </w:rPr>
              <w:t>TBD</w:t>
            </w:r>
          </w:p>
        </w:tc>
        <w:tc>
          <w:tcPr>
            <w:tcW w:w="4584" w:type="dxa"/>
          </w:tcPr>
          <w:p w14:paraId="00B244AF" w14:textId="5873E5C7" w:rsidR="001C1EF7" w:rsidRPr="00973973" w:rsidRDefault="001C1EF7" w:rsidP="001C1EF7">
            <w:pPr>
              <w:rPr>
                <w:noProof/>
                <w:sz w:val="20"/>
                <w:szCs w:val="20"/>
              </w:rPr>
            </w:pPr>
            <w:r w:rsidRPr="00973973">
              <w:rPr>
                <w:noProof/>
                <w:sz w:val="20"/>
                <w:szCs w:val="20"/>
              </w:rPr>
              <w:t>TBD</w:t>
            </w:r>
          </w:p>
        </w:tc>
      </w:tr>
      <w:tr w:rsidR="001C1EF7" w14:paraId="7E4CABC1" w14:textId="77777777" w:rsidTr="001C1EF7">
        <w:tc>
          <w:tcPr>
            <w:tcW w:w="4658" w:type="dxa"/>
          </w:tcPr>
          <w:p w14:paraId="23EB1D21" w14:textId="7142DF14" w:rsidR="001C1EF7" w:rsidRPr="00973973" w:rsidRDefault="001C1EF7" w:rsidP="001C1EF7">
            <w:pPr>
              <w:rPr>
                <w:noProof/>
                <w:sz w:val="20"/>
                <w:szCs w:val="20"/>
              </w:rPr>
            </w:pPr>
            <w:r w:rsidRPr="00973973">
              <w:rPr>
                <w:noProof/>
                <w:sz w:val="20"/>
                <w:szCs w:val="20"/>
              </w:rPr>
              <w:t>TBD</w:t>
            </w:r>
          </w:p>
        </w:tc>
        <w:tc>
          <w:tcPr>
            <w:tcW w:w="4584" w:type="dxa"/>
          </w:tcPr>
          <w:p w14:paraId="0DC94AF1" w14:textId="2D74EFAA" w:rsidR="001C1EF7" w:rsidRPr="00973973" w:rsidRDefault="001C1EF7" w:rsidP="001C1EF7">
            <w:pPr>
              <w:rPr>
                <w:noProof/>
                <w:sz w:val="20"/>
                <w:szCs w:val="20"/>
              </w:rPr>
            </w:pPr>
            <w:r w:rsidRPr="00973973">
              <w:rPr>
                <w:noProof/>
                <w:sz w:val="20"/>
                <w:szCs w:val="20"/>
              </w:rPr>
              <w:t>TBD</w:t>
            </w:r>
          </w:p>
        </w:tc>
      </w:tr>
    </w:tbl>
    <w:p w14:paraId="5E6611C2" w14:textId="77777777" w:rsidR="00CE1AA5" w:rsidRDefault="00CE1AA5" w:rsidP="007E65BC">
      <w:pPr>
        <w:pStyle w:val="ArticleParagraph-A"/>
        <w:rPr>
          <w:noProof/>
        </w:rPr>
      </w:pPr>
    </w:p>
    <w:p w14:paraId="0CC4290E" w14:textId="77777777" w:rsidR="00CE1AA5" w:rsidRDefault="00CE1AA5" w:rsidP="00683387">
      <w:pPr>
        <w:pStyle w:val="ArticleHeader"/>
        <w:rPr>
          <w:noProof/>
        </w:rPr>
      </w:pPr>
      <w:r>
        <w:rPr>
          <w:noProof/>
        </w:rPr>
        <w:t>E-VERIFY PROGRAM ENROLLMENT VERIFICATION</w:t>
      </w:r>
    </w:p>
    <w:p w14:paraId="5C67AEF0" w14:textId="77777777" w:rsidR="00CE1AA5" w:rsidRDefault="00CE1AA5" w:rsidP="007E65BC">
      <w:pPr>
        <w:keepNext/>
        <w:rPr>
          <w:noProof/>
        </w:rPr>
      </w:pPr>
    </w:p>
    <w:p w14:paraId="10AF1784" w14:textId="77777777" w:rsidR="00CE1AA5" w:rsidRDefault="00CE1AA5" w:rsidP="007E65BC">
      <w:pPr>
        <w:pStyle w:val="ArticleParagraph"/>
        <w:rPr>
          <w:noProof/>
        </w:rPr>
      </w:pPr>
      <w:r>
        <w:rPr>
          <w:noProof/>
        </w:rPr>
        <w:t xml:space="preserve">Within 30 calendar days after award, the Subcontractor shall demonstrate that it has enrolled as a </w:t>
      </w:r>
      <w:r w:rsidRPr="004559F5">
        <w:rPr>
          <w:i/>
          <w:noProof/>
        </w:rPr>
        <w:t>Federal Contractor</w:t>
      </w:r>
      <w:r>
        <w:rPr>
          <w:noProof/>
        </w:rPr>
        <w:t xml:space="preserve"> in the E-Verify System by providing the LLNS Contract </w:t>
      </w:r>
      <w:r w:rsidRPr="00E33A9C">
        <w:rPr>
          <w:noProof/>
        </w:rPr>
        <w:t>Analyst</w:t>
      </w:r>
      <w:r>
        <w:rPr>
          <w:noProof/>
        </w:rPr>
        <w:t xml:space="preserve"> a copy of the Subcontractor's ‘Company Information’ page printed directly from the E-Verify System.</w:t>
      </w:r>
    </w:p>
    <w:p w14:paraId="2825CCC4" w14:textId="77777777" w:rsidR="00CE1AA5" w:rsidRDefault="00CE1AA5" w:rsidP="00C30955">
      <w:pPr>
        <w:rPr>
          <w:noProof/>
        </w:rPr>
      </w:pPr>
    </w:p>
    <w:p w14:paraId="4D2D3C51" w14:textId="77777777" w:rsidR="00CE1AA5" w:rsidRPr="00627AAD" w:rsidRDefault="00CE1AA5" w:rsidP="00683387">
      <w:pPr>
        <w:pStyle w:val="ArticleHeader"/>
        <w:rPr>
          <w:noProof/>
        </w:rPr>
      </w:pPr>
      <w:r w:rsidRPr="00627AAD">
        <w:rPr>
          <w:noProof/>
        </w:rPr>
        <w:t>APPROVAL OF TECHNICAL DATA</w:t>
      </w:r>
    </w:p>
    <w:p w14:paraId="5B6FC358" w14:textId="77777777" w:rsidR="00CE1AA5" w:rsidRPr="00627AAD" w:rsidRDefault="00CE1AA5" w:rsidP="000D410D">
      <w:pPr>
        <w:keepNext/>
        <w:rPr>
          <w:noProof/>
        </w:rPr>
      </w:pPr>
    </w:p>
    <w:p w14:paraId="69A5F197" w14:textId="77777777" w:rsidR="00CE1AA5" w:rsidRPr="00627AAD" w:rsidRDefault="00CE1AA5" w:rsidP="000D410D">
      <w:pPr>
        <w:pStyle w:val="ArticleParagraph"/>
        <w:rPr>
          <w:noProof/>
        </w:rPr>
      </w:pPr>
      <w:r w:rsidRPr="00627AAD">
        <w:rPr>
          <w:noProof/>
        </w:rPr>
        <w:t>If this Subcontract requires the Subcontractor to furnish any drawings, specifications, diagrams, layouts, schematics, descriptive literature, illustrations, schedules, performance or test data, or other tech</w:t>
      </w:r>
      <w:r>
        <w:rPr>
          <w:noProof/>
        </w:rPr>
        <w:t xml:space="preserve">nical data (hereinafter called </w:t>
      </w:r>
      <w:r w:rsidRPr="00627AAD">
        <w:rPr>
          <w:noProof/>
        </w:rPr>
        <w:t xml:space="preserve">data) for LLNS’ approval, LLNS’ approval of the data shall not relieve the Subcontractor from responsibility for any errors or omissions in such data or from responsibility for </w:t>
      </w:r>
      <w:r w:rsidRPr="00627AAD">
        <w:rPr>
          <w:noProof/>
        </w:rPr>
        <w:lastRenderedPageBreak/>
        <w:t>complying with the requirements of this Subcontract, except as specified below.  Any work done prior to such approval shall be at the Subcontractor’s risk.</w:t>
      </w:r>
    </w:p>
    <w:p w14:paraId="1E3219E8" w14:textId="77777777" w:rsidR="00CE1AA5" w:rsidRPr="00627AAD" w:rsidRDefault="00CE1AA5" w:rsidP="000D410D">
      <w:pPr>
        <w:pStyle w:val="ArticleParagraph"/>
        <w:rPr>
          <w:noProof/>
        </w:rPr>
      </w:pPr>
    </w:p>
    <w:p w14:paraId="031889EA" w14:textId="77777777" w:rsidR="00CE1AA5" w:rsidRPr="00627AAD" w:rsidRDefault="00CE1AA5" w:rsidP="000D410D">
      <w:pPr>
        <w:pStyle w:val="ArticleParagraph"/>
        <w:rPr>
          <w:noProof/>
        </w:rPr>
      </w:pPr>
      <w:r w:rsidRPr="00627AAD">
        <w:rPr>
          <w:noProof/>
        </w:rPr>
        <w:t>If the data includes any variation from the Subcontract requirements, the Subcontractor shall describe such variation in writing at the time of submission of the data to LLNS, for LLNS review and approval.  If LLNS approves any such variation, the variation will be incorporated into the Subcontract by a bilateral Modification to this Subcontract.</w:t>
      </w:r>
    </w:p>
    <w:p w14:paraId="5F6F8510" w14:textId="77777777" w:rsidR="00CE1AA5" w:rsidRPr="00627AAD" w:rsidRDefault="00CE1AA5" w:rsidP="000D410D">
      <w:pPr>
        <w:pStyle w:val="ArticleParagraph"/>
        <w:rPr>
          <w:noProof/>
        </w:rPr>
      </w:pPr>
    </w:p>
    <w:p w14:paraId="5450935A" w14:textId="77777777" w:rsidR="00CE1AA5" w:rsidRPr="00627AAD" w:rsidRDefault="00CE1AA5" w:rsidP="000D410D">
      <w:pPr>
        <w:pStyle w:val="ArticleParagraph"/>
        <w:rPr>
          <w:noProof/>
        </w:rPr>
      </w:pPr>
      <w:r w:rsidRPr="00627AAD">
        <w:rPr>
          <w:noProof/>
        </w:rPr>
        <w:t>Unless otherwise specified, LLNS requires a period of 10 working days, from date of receipt, to review and approve the data. If LLNS does not approve the data within the allotted time period, the parties will establish a new time period for review and approval of the data and, if necessary, the delivery schedule or completion date will be equitably adjusted.</w:t>
      </w:r>
    </w:p>
    <w:p w14:paraId="3231BAB0" w14:textId="77777777" w:rsidR="00CE1AA5" w:rsidRPr="00627AAD" w:rsidRDefault="00CE1AA5" w:rsidP="000D410D">
      <w:pPr>
        <w:pStyle w:val="ArticleParagraph"/>
        <w:rPr>
          <w:noProof/>
        </w:rPr>
      </w:pPr>
    </w:p>
    <w:p w14:paraId="38D3C75B" w14:textId="77777777" w:rsidR="00CE1AA5" w:rsidRPr="00627AAD" w:rsidRDefault="00CE1AA5" w:rsidP="000D410D">
      <w:pPr>
        <w:pStyle w:val="ArticleParagraph"/>
        <w:keepNext/>
        <w:rPr>
          <w:noProof/>
        </w:rPr>
      </w:pPr>
      <w:r w:rsidRPr="00627AAD">
        <w:rPr>
          <w:noProof/>
        </w:rPr>
        <w:t>All submittals shall be sent to the following e-mail address to the maximum extent practical:</w:t>
      </w:r>
    </w:p>
    <w:p w14:paraId="2F93CA99" w14:textId="4EE00A9B" w:rsidR="00CE1AA5" w:rsidRPr="00627AAD" w:rsidRDefault="007766BC" w:rsidP="0022230F">
      <w:pPr>
        <w:pStyle w:val="ArticleParagraph"/>
        <w:keepNext/>
        <w:jc w:val="center"/>
        <w:rPr>
          <w:noProof/>
        </w:rPr>
      </w:pPr>
      <w:hyperlink r:id="rId20" w:history="1">
        <w:r w:rsidR="00C16B13" w:rsidRPr="00AE7B1D">
          <w:rPr>
            <w:rStyle w:val="Hyperlink"/>
            <w:noProof/>
          </w:rPr>
          <w:t>ward31@llnl.gov</w:t>
        </w:r>
      </w:hyperlink>
      <w:r w:rsidR="00C16B13">
        <w:rPr>
          <w:noProof/>
        </w:rPr>
        <w:t xml:space="preserve"> </w:t>
      </w:r>
    </w:p>
    <w:p w14:paraId="53D00F92" w14:textId="77777777" w:rsidR="00CE1AA5" w:rsidRPr="00627AAD" w:rsidRDefault="00CE1AA5" w:rsidP="000D410D">
      <w:pPr>
        <w:pStyle w:val="ArticleParagraph"/>
        <w:keepNext/>
        <w:rPr>
          <w:noProof/>
        </w:rPr>
      </w:pPr>
    </w:p>
    <w:p w14:paraId="6FF23285" w14:textId="77777777" w:rsidR="00CE1AA5" w:rsidRPr="00627AAD" w:rsidRDefault="00CE1AA5" w:rsidP="000D410D">
      <w:pPr>
        <w:pStyle w:val="ArticleParagraph"/>
        <w:keepNext/>
        <w:rPr>
          <w:noProof/>
        </w:rPr>
      </w:pPr>
      <w:r w:rsidRPr="00627AAD">
        <w:rPr>
          <w:noProof/>
        </w:rPr>
        <w:t>All submittals that cannot be sent electronically shall be sent to the following address:</w:t>
      </w:r>
    </w:p>
    <w:p w14:paraId="39891A65" w14:textId="77777777" w:rsidR="00CE1AA5" w:rsidRPr="00627AAD" w:rsidRDefault="00CE1AA5" w:rsidP="000D410D">
      <w:pPr>
        <w:pStyle w:val="ArticleParagraph"/>
        <w:keepNext/>
        <w:rPr>
          <w:noProof/>
        </w:rPr>
      </w:pPr>
    </w:p>
    <w:p w14:paraId="5BC654C1" w14:textId="77777777" w:rsidR="00CE1AA5" w:rsidRPr="00627AAD" w:rsidRDefault="00CE1AA5" w:rsidP="000D410D">
      <w:pPr>
        <w:pStyle w:val="ArticleParagraph"/>
        <w:keepNext/>
        <w:ind w:left="720"/>
        <w:rPr>
          <w:noProof/>
        </w:rPr>
      </w:pPr>
      <w:r w:rsidRPr="00627AAD">
        <w:rPr>
          <w:noProof/>
        </w:rPr>
        <w:t>Lawrence Livermore National Laboratory</w:t>
      </w:r>
    </w:p>
    <w:p w14:paraId="62AE5590" w14:textId="04B36358" w:rsidR="00CE1AA5" w:rsidRPr="00627AAD" w:rsidRDefault="00CE1AA5" w:rsidP="000D410D">
      <w:pPr>
        <w:pStyle w:val="ArticleParagraph"/>
        <w:keepNext/>
        <w:ind w:left="720"/>
        <w:rPr>
          <w:noProof/>
        </w:rPr>
      </w:pPr>
      <w:r w:rsidRPr="00627AAD">
        <w:rPr>
          <w:noProof/>
        </w:rPr>
        <w:t xml:space="preserve">Attention:  </w:t>
      </w:r>
      <w:r w:rsidRPr="00B63888">
        <w:rPr>
          <w:noProof/>
        </w:rPr>
        <w:t>Gary M. Ward</w:t>
      </w:r>
      <w:r w:rsidRPr="00627AAD">
        <w:rPr>
          <w:noProof/>
        </w:rPr>
        <w:t>, Mail Code L-</w:t>
      </w:r>
      <w:r w:rsidR="00C16B13">
        <w:rPr>
          <w:noProof/>
        </w:rPr>
        <w:t>555</w:t>
      </w:r>
    </w:p>
    <w:p w14:paraId="55157344" w14:textId="77777777" w:rsidR="00CE1AA5" w:rsidRPr="00627AAD" w:rsidRDefault="00CE1AA5" w:rsidP="000D410D">
      <w:pPr>
        <w:pStyle w:val="ArticleParagraph"/>
        <w:keepNext/>
        <w:ind w:left="720"/>
        <w:rPr>
          <w:noProof/>
        </w:rPr>
      </w:pPr>
      <w:r w:rsidRPr="00627AAD">
        <w:rPr>
          <w:noProof/>
        </w:rPr>
        <w:t>7000 East Avenue / P.O. Box 5012</w:t>
      </w:r>
    </w:p>
    <w:p w14:paraId="32F3DE82" w14:textId="77777777" w:rsidR="00CE1AA5" w:rsidRPr="00627AAD" w:rsidRDefault="00CE1AA5" w:rsidP="000D410D">
      <w:pPr>
        <w:pStyle w:val="ArticleParagraph"/>
        <w:ind w:left="720"/>
        <w:rPr>
          <w:noProof/>
        </w:rPr>
      </w:pPr>
      <w:r w:rsidRPr="00627AAD">
        <w:rPr>
          <w:noProof/>
        </w:rPr>
        <w:t>Livermore, CA  94550 / 94551</w:t>
      </w:r>
    </w:p>
    <w:p w14:paraId="6C424118" w14:textId="77777777" w:rsidR="00CE1AA5" w:rsidRDefault="00CE1AA5" w:rsidP="006E01E7"/>
    <w:p w14:paraId="3519DA7E" w14:textId="77777777" w:rsidR="00E9175C" w:rsidRDefault="00E9175C" w:rsidP="00E9175C">
      <w:pPr>
        <w:pStyle w:val="ArticleHeader"/>
        <w:rPr>
          <w:noProof/>
        </w:rPr>
      </w:pPr>
      <w:r w:rsidRPr="00D73AB0">
        <w:rPr>
          <w:noProof/>
        </w:rPr>
        <w:t>EXPORT</w:t>
      </w:r>
      <w:r w:rsidRPr="00111EBD">
        <w:rPr>
          <w:noProof/>
        </w:rPr>
        <w:t xml:space="preserve"> CONTROL REQUIREMENTS</w:t>
      </w:r>
    </w:p>
    <w:p w14:paraId="3BDFF09C" w14:textId="77777777" w:rsidR="00E9175C" w:rsidRPr="00B06A57" w:rsidRDefault="00E9175C" w:rsidP="00E9175C">
      <w:pPr>
        <w:keepNext/>
        <w:rPr>
          <w:noProof/>
        </w:rPr>
      </w:pPr>
    </w:p>
    <w:p w14:paraId="6BDAAF9C" w14:textId="3414CF76" w:rsidR="00E9175C" w:rsidRPr="00351B56" w:rsidRDefault="00CC6354" w:rsidP="00E9175C">
      <w:pPr>
        <w:pStyle w:val="ArticleParagraph"/>
        <w:rPr>
          <w:rFonts w:asciiTheme="minorHAnsi" w:hAnsiTheme="minorHAnsi" w:cstheme="minorHAnsi"/>
          <w:i/>
          <w:iCs/>
          <w:noProof/>
          <w:sz w:val="20"/>
          <w:szCs w:val="20"/>
        </w:rPr>
      </w:pPr>
      <w:r w:rsidRPr="00351B56">
        <w:rPr>
          <w:rFonts w:asciiTheme="minorHAnsi" w:hAnsiTheme="minorHAnsi" w:cstheme="minorHAnsi"/>
          <w:i/>
          <w:iCs/>
          <w:noProof/>
          <w:sz w:val="20"/>
          <w:szCs w:val="20"/>
          <w:highlight w:val="cyan"/>
        </w:rPr>
        <w:t>To be determined, based upon the proposal and LLNS review.</w:t>
      </w:r>
    </w:p>
    <w:p w14:paraId="63C66682" w14:textId="77777777" w:rsidR="00CC6354" w:rsidRPr="00351B56" w:rsidRDefault="00CC6354" w:rsidP="00E9175C">
      <w:pPr>
        <w:rPr>
          <w:rFonts w:asciiTheme="minorHAnsi" w:hAnsiTheme="minorHAnsi" w:cstheme="minorHAnsi"/>
          <w:noProof/>
          <w:color w:val="FF0000"/>
          <w:sz w:val="20"/>
          <w:szCs w:val="20"/>
        </w:rPr>
      </w:pPr>
    </w:p>
    <w:p w14:paraId="0F5BDB08" w14:textId="77777777" w:rsidR="00CC6354" w:rsidRPr="00A82BE0" w:rsidRDefault="00CC6354" w:rsidP="00CC6354">
      <w:pPr>
        <w:pStyle w:val="ArticleHeader"/>
        <w:ind w:left="360" w:hanging="360"/>
        <w:rPr>
          <w:noProof/>
          <w:color w:val="auto"/>
        </w:rPr>
      </w:pPr>
      <w:r w:rsidRPr="00A82BE0">
        <w:rPr>
          <w:noProof/>
          <w:color w:val="auto"/>
        </w:rPr>
        <w:t>FOREIGN GOVERNMENT TALENT RECRUITMENT PROGRAM</w:t>
      </w:r>
    </w:p>
    <w:p w14:paraId="51EE6A84" w14:textId="77777777" w:rsidR="00CC6354" w:rsidRDefault="00CC6354" w:rsidP="00CC6354">
      <w:pPr>
        <w:rPr>
          <w:rFonts w:cs="Times New Roman"/>
          <w:noProof/>
          <w:szCs w:val="24"/>
        </w:rPr>
      </w:pPr>
    </w:p>
    <w:p w14:paraId="42793507" w14:textId="77777777" w:rsidR="00CC6354" w:rsidRPr="00E80B4B" w:rsidRDefault="00CC6354" w:rsidP="00CC6354">
      <w:pPr>
        <w:ind w:left="720" w:hanging="720"/>
        <w:jc w:val="both"/>
        <w:rPr>
          <w:rFonts w:cs="Times New Roman"/>
          <w:noProof/>
        </w:rPr>
      </w:pPr>
      <w:r w:rsidRPr="00E80B4B">
        <w:rPr>
          <w:rFonts w:cs="Times New Roman"/>
          <w:noProof/>
        </w:rPr>
        <w:t>A.</w:t>
      </w:r>
      <w:r w:rsidRPr="00E80B4B">
        <w:rPr>
          <w:rFonts w:cs="Times New Roman"/>
          <w:noProof/>
        </w:rPr>
        <w:tab/>
        <w:t xml:space="preserve">Pursuant to DOE Order 486.1A, </w:t>
      </w:r>
      <w:r w:rsidRPr="00E80B4B">
        <w:rPr>
          <w:rFonts w:cs="Times New Roman"/>
          <w:i/>
          <w:iCs/>
          <w:noProof/>
        </w:rPr>
        <w:t>Foreign Government Sponsored or Affiliated Activities</w:t>
      </w:r>
      <w:r w:rsidRPr="00E80B4B">
        <w:rPr>
          <w:rFonts w:cs="Times New Roman"/>
          <w:noProof/>
        </w:rPr>
        <w:t>, the Subcontractor must prohibit its employees as well as the employees of its lower-tier subcontractors, from participating in a Foreign Government Talent Recruitment Program by receiving Compensation from a Foreign Country of Risk while performing on-site work within the scope of this Subcontract, without prior written approval from the LLNS Contract Analyst. The Subcontractor shall flow down the requirements of this Article into lower-tier subcontracts to the extent necessary to ensure the Subcontractor’s compliance with the requirement.</w:t>
      </w:r>
    </w:p>
    <w:p w14:paraId="3EF416AC" w14:textId="77777777" w:rsidR="00CC6354" w:rsidRPr="00E80B4B" w:rsidRDefault="00CC6354" w:rsidP="00CC6354">
      <w:pPr>
        <w:ind w:left="720" w:hanging="720"/>
        <w:jc w:val="both"/>
        <w:rPr>
          <w:rFonts w:cs="Times New Roman"/>
          <w:noProof/>
        </w:rPr>
      </w:pPr>
    </w:p>
    <w:p w14:paraId="3516A91D" w14:textId="77777777" w:rsidR="00CC6354" w:rsidRPr="00E80B4B" w:rsidRDefault="00CC6354" w:rsidP="00CC6354">
      <w:pPr>
        <w:ind w:left="720" w:hanging="720"/>
        <w:jc w:val="both"/>
        <w:rPr>
          <w:rFonts w:cs="Times New Roman"/>
          <w:noProof/>
        </w:rPr>
      </w:pPr>
      <w:r w:rsidRPr="00E80B4B">
        <w:rPr>
          <w:rFonts w:cs="Times New Roman"/>
          <w:noProof/>
        </w:rPr>
        <w:t>B.</w:t>
      </w:r>
      <w:r w:rsidRPr="00E80B4B">
        <w:rPr>
          <w:rFonts w:cs="Times New Roman"/>
          <w:noProof/>
        </w:rPr>
        <w:tab/>
        <w:t xml:space="preserve">As of the effective date of this Subcontract, the Subcontractor hereby represents, to the best of its knowledge, that none of its employees or its lower-tier subcontractor employees performing work within the scope of this Subcontract at a DOE/NNSA owned facility, or a DOE/NNSA/LLNS leased facility, is engaged in a Foreign Government Talent Recruitment Program by receiving Compensation from a Foreign Country of Risk without the advance written approval from the LLNS Contract Analyst </w:t>
      </w:r>
    </w:p>
    <w:p w14:paraId="41629534" w14:textId="77777777" w:rsidR="00CC6354" w:rsidRPr="00E80B4B" w:rsidRDefault="00CC6354" w:rsidP="00CC6354">
      <w:pPr>
        <w:ind w:left="720" w:hanging="720"/>
        <w:jc w:val="both"/>
        <w:rPr>
          <w:rFonts w:cs="Times New Roman"/>
          <w:noProof/>
        </w:rPr>
      </w:pPr>
    </w:p>
    <w:p w14:paraId="7E02B34B" w14:textId="77777777" w:rsidR="00CC6354" w:rsidRPr="00E80B4B" w:rsidRDefault="00CC6354" w:rsidP="00CC6354">
      <w:pPr>
        <w:ind w:left="720" w:hanging="720"/>
        <w:jc w:val="both"/>
        <w:rPr>
          <w:rFonts w:cs="Times New Roman"/>
          <w:noProof/>
        </w:rPr>
      </w:pPr>
      <w:r w:rsidRPr="00E80B4B">
        <w:rPr>
          <w:rFonts w:cs="Times New Roman"/>
          <w:noProof/>
        </w:rPr>
        <w:t xml:space="preserve">C. </w:t>
      </w:r>
      <w:r w:rsidRPr="00E80B4B">
        <w:rPr>
          <w:rFonts w:cs="Times New Roman"/>
          <w:noProof/>
        </w:rPr>
        <w:tab/>
        <w:t xml:space="preserve">The Subcontractor shall perform reasonable due diligence to ensure compliance with this Article. If, during performance of this Subcontract, the Subcontractor has reason to believe that one or more of its employees, or an employee of a lower-tier subcontractor, performing on-site work on </w:t>
      </w:r>
      <w:r w:rsidRPr="00E80B4B">
        <w:rPr>
          <w:rFonts w:cs="Times New Roman"/>
          <w:noProof/>
        </w:rPr>
        <w:lastRenderedPageBreak/>
        <w:t>this Subcontract is engaged in a Foreign Government Talent Recruitment Program by receiving Compensation from a Foreign Country of Risk, the Subcontractor must (1) reassign the affected employee until LLNS makes a determination pursuant to paragraph D. of this Article and (2) promptly notify and provide the following information to the LLNS Contract Analyst.</w:t>
      </w:r>
    </w:p>
    <w:p w14:paraId="48A5486B" w14:textId="77777777" w:rsidR="00CC6354" w:rsidRPr="00E80B4B" w:rsidRDefault="00CC6354" w:rsidP="00CC6354">
      <w:pPr>
        <w:ind w:left="720" w:hanging="720"/>
        <w:jc w:val="both"/>
        <w:rPr>
          <w:rFonts w:cs="Times New Roman"/>
          <w:noProof/>
        </w:rPr>
      </w:pPr>
    </w:p>
    <w:p w14:paraId="07D81A99" w14:textId="77777777" w:rsidR="00CC6354" w:rsidRPr="00E80B4B" w:rsidRDefault="00CC6354" w:rsidP="00CC6354">
      <w:pPr>
        <w:pStyle w:val="ArticleParagraph-A1"/>
        <w:rPr>
          <w:noProof/>
        </w:rPr>
      </w:pPr>
      <w:r w:rsidRPr="00E80B4B">
        <w:rPr>
          <w:noProof/>
        </w:rPr>
        <w:t>a.</w:t>
      </w:r>
      <w:r w:rsidRPr="00E80B4B">
        <w:rPr>
          <w:noProof/>
        </w:rPr>
        <w:tab/>
        <w:t>Names of the employee(s);</w:t>
      </w:r>
    </w:p>
    <w:p w14:paraId="08811E60" w14:textId="77777777" w:rsidR="00CC6354" w:rsidRPr="00E80B4B" w:rsidRDefault="00CC6354" w:rsidP="00CC6354">
      <w:pPr>
        <w:pStyle w:val="ArticleParagraph-A1"/>
        <w:rPr>
          <w:rFonts w:cs="Times New Roman"/>
          <w:noProof/>
        </w:rPr>
      </w:pPr>
      <w:r w:rsidRPr="00E80B4B">
        <w:rPr>
          <w:noProof/>
        </w:rPr>
        <w:t>b.</w:t>
      </w:r>
      <w:r w:rsidRPr="00E80B4B">
        <w:rPr>
          <w:noProof/>
        </w:rPr>
        <w:tab/>
        <w:t>Name of the foreign country and the names of the suspected Foreign Government Talent Recruitment Program(s);</w:t>
      </w:r>
      <w:r w:rsidRPr="00E80B4B">
        <w:rPr>
          <w:rFonts w:cs="Times New Roman"/>
          <w:noProof/>
        </w:rPr>
        <w:t xml:space="preserve"> </w:t>
      </w:r>
    </w:p>
    <w:p w14:paraId="5C770497" w14:textId="77777777" w:rsidR="00CC6354" w:rsidRPr="00E80B4B" w:rsidRDefault="00CC6354" w:rsidP="00CC6354">
      <w:pPr>
        <w:pStyle w:val="ArticleParagraph-A1"/>
        <w:rPr>
          <w:noProof/>
        </w:rPr>
      </w:pPr>
      <w:r w:rsidRPr="00E80B4B">
        <w:rPr>
          <w:noProof/>
        </w:rPr>
        <w:t>c.</w:t>
      </w:r>
      <w:r w:rsidRPr="00E80B4B">
        <w:rPr>
          <w:noProof/>
        </w:rPr>
        <w:tab/>
        <w:t>The actual or anticipated renumeration or Compensation paid to the employee(s) involved with the suspected Foreign Government Talent Recruitment Program(s); and,</w:t>
      </w:r>
    </w:p>
    <w:p w14:paraId="5CF80C24" w14:textId="77777777" w:rsidR="00CC6354" w:rsidRPr="00E80B4B" w:rsidRDefault="00CC6354" w:rsidP="00CC6354">
      <w:pPr>
        <w:pStyle w:val="ArticleParagraph-A1"/>
        <w:rPr>
          <w:noProof/>
        </w:rPr>
      </w:pPr>
      <w:r w:rsidRPr="00E80B4B">
        <w:rPr>
          <w:noProof/>
        </w:rPr>
        <w:t>d.</w:t>
      </w:r>
      <w:r w:rsidRPr="00E80B4B">
        <w:rPr>
          <w:noProof/>
        </w:rPr>
        <w:tab/>
        <w:t xml:space="preserve">Any other information reasonably requested by LLNS or the U.S. Government. </w:t>
      </w:r>
    </w:p>
    <w:p w14:paraId="32F6A183" w14:textId="77777777" w:rsidR="00CC6354" w:rsidRPr="00E80B4B" w:rsidRDefault="00CC6354" w:rsidP="00CC6354">
      <w:pPr>
        <w:jc w:val="both"/>
        <w:rPr>
          <w:rFonts w:cs="Times New Roman"/>
          <w:noProof/>
        </w:rPr>
      </w:pPr>
    </w:p>
    <w:p w14:paraId="3A9EEFAA" w14:textId="77777777" w:rsidR="00CC6354" w:rsidRPr="00E80B4B" w:rsidRDefault="00CC6354" w:rsidP="00CC6354">
      <w:pPr>
        <w:ind w:left="720"/>
        <w:jc w:val="both"/>
        <w:rPr>
          <w:rFonts w:cs="Times New Roman"/>
          <w:noProof/>
        </w:rPr>
      </w:pPr>
      <w:r w:rsidRPr="00E80B4B">
        <w:rPr>
          <w:rFonts w:cs="Times New Roman"/>
          <w:noProof/>
        </w:rPr>
        <w:t>LLNS may share the information provided with the U.S. Government.</w:t>
      </w:r>
    </w:p>
    <w:p w14:paraId="7E5D14C3" w14:textId="77777777" w:rsidR="00CC6354" w:rsidRPr="00E80B4B" w:rsidRDefault="00CC6354" w:rsidP="00CC6354">
      <w:pPr>
        <w:jc w:val="both"/>
        <w:rPr>
          <w:rFonts w:cs="Times New Roman"/>
          <w:noProof/>
        </w:rPr>
      </w:pPr>
    </w:p>
    <w:p w14:paraId="53F26C08" w14:textId="77777777" w:rsidR="00CC6354" w:rsidRPr="00E80B4B" w:rsidRDefault="00CC6354" w:rsidP="00CC6354">
      <w:pPr>
        <w:ind w:left="720" w:hanging="720"/>
        <w:jc w:val="both"/>
        <w:rPr>
          <w:rFonts w:cs="Times New Roman"/>
          <w:noProof/>
        </w:rPr>
      </w:pPr>
      <w:r w:rsidRPr="00E80B4B">
        <w:rPr>
          <w:rFonts w:cs="Times New Roman"/>
          <w:noProof/>
        </w:rPr>
        <w:t>D.</w:t>
      </w:r>
      <w:r w:rsidRPr="00E80B4B">
        <w:rPr>
          <w:rFonts w:cs="Times New Roman"/>
          <w:noProof/>
        </w:rPr>
        <w:tab/>
        <w:t>The Subcontractor agrees to cooperate with LLNS and/or DOE/NNSA and take appropriate actions as directed by the LLNS Contract Analyst and/or by DOE/NNSA, to ensure that neither the Subcontractor’s employee nor its lower-tier subcontractor employees are participating in a Foreign Government Talent Recruitment Program by receiving Compensation from a Foreign Country of Risk while performing on-site under this Subcontract, without the prior written approval from the LLNS Contract Analyst. Such actions may include, but are not limited to, removing the individual from participating in this Subcontract and replacing the individual with someone else who is qualified to perform the work in question. The Subcontractor’s failure to comply with the requirements under this Article may result in LLNS exercising appropriate remedies.</w:t>
      </w:r>
    </w:p>
    <w:p w14:paraId="16275E07" w14:textId="77777777" w:rsidR="00CC6354" w:rsidRPr="00E80B4B" w:rsidRDefault="00CC6354" w:rsidP="00CC6354">
      <w:pPr>
        <w:ind w:left="720" w:hanging="720"/>
        <w:jc w:val="both"/>
        <w:rPr>
          <w:rFonts w:cs="Times New Roman"/>
          <w:noProof/>
        </w:rPr>
      </w:pPr>
    </w:p>
    <w:p w14:paraId="7F4EF454" w14:textId="77777777" w:rsidR="00CC6354" w:rsidRPr="00E80B4B" w:rsidRDefault="00CC6354" w:rsidP="00CC6354">
      <w:pPr>
        <w:ind w:left="720" w:hanging="720"/>
        <w:jc w:val="both"/>
        <w:rPr>
          <w:rFonts w:cs="Times New Roman"/>
          <w:noProof/>
        </w:rPr>
      </w:pPr>
      <w:r w:rsidRPr="00E80B4B">
        <w:rPr>
          <w:rFonts w:cs="Times New Roman"/>
          <w:noProof/>
        </w:rPr>
        <w:t>E.</w:t>
      </w:r>
      <w:r w:rsidRPr="00E80B4B">
        <w:rPr>
          <w:rFonts w:cs="Times New Roman"/>
          <w:noProof/>
        </w:rPr>
        <w:tab/>
        <w:t xml:space="preserve">The following definitions shall apply to this Article. </w:t>
      </w:r>
    </w:p>
    <w:p w14:paraId="130026CA" w14:textId="77777777" w:rsidR="00CC6354" w:rsidRPr="00E80B4B" w:rsidRDefault="00CC6354" w:rsidP="00CC6354">
      <w:pPr>
        <w:pStyle w:val="ArticleParagraph-A1"/>
        <w:rPr>
          <w:noProof/>
        </w:rPr>
      </w:pPr>
      <w:r w:rsidRPr="00E80B4B">
        <w:rPr>
          <w:noProof/>
        </w:rPr>
        <w:t>1.</w:t>
      </w:r>
      <w:r w:rsidRPr="00E80B4B">
        <w:rPr>
          <w:noProof/>
        </w:rPr>
        <w:tab/>
      </w:r>
      <w:r w:rsidRPr="00E80B4B">
        <w:rPr>
          <w:i/>
          <w:iCs/>
          <w:noProof/>
        </w:rPr>
        <w:t>Compensation</w:t>
      </w:r>
      <w:r w:rsidRPr="00E80B4B">
        <w:rPr>
          <w:noProof/>
        </w:rPr>
        <w:t xml:space="preserve"> could take many forms including but not limited to cash, research funding, complimentary foreign travel, honorific titles, career advancement opportunities, promised future compensation, or any other type of renumeration or consideration, including in-kind compensation.</w:t>
      </w:r>
    </w:p>
    <w:p w14:paraId="07DCD8FF" w14:textId="77777777" w:rsidR="00CC6354" w:rsidRPr="00E80B4B" w:rsidRDefault="00CC6354" w:rsidP="00CC6354">
      <w:pPr>
        <w:pStyle w:val="ArticleParagraph-A1"/>
        <w:rPr>
          <w:noProof/>
        </w:rPr>
      </w:pPr>
      <w:r w:rsidRPr="00E80B4B">
        <w:rPr>
          <w:noProof/>
        </w:rPr>
        <w:t>2.</w:t>
      </w:r>
      <w:r w:rsidRPr="00E80B4B">
        <w:rPr>
          <w:noProof/>
        </w:rPr>
        <w:tab/>
      </w:r>
      <w:r w:rsidRPr="00E80B4B">
        <w:rPr>
          <w:i/>
          <w:iCs/>
          <w:noProof/>
        </w:rPr>
        <w:t>Foreign Country of Risk</w:t>
      </w:r>
      <w:r w:rsidRPr="00E80B4B">
        <w:rPr>
          <w:noProof/>
        </w:rPr>
        <w:t xml:space="preserve"> refers to any foreign country determined to be of risk by the U.S. Government, which includes Russia, Iran, China, and North Korea; and is subject to change.</w:t>
      </w:r>
    </w:p>
    <w:p w14:paraId="3E7D584C" w14:textId="77777777" w:rsidR="00CC6354" w:rsidRPr="00E80B4B" w:rsidRDefault="00CC6354" w:rsidP="00CC6354">
      <w:pPr>
        <w:pStyle w:val="ArticleParagraph-A1"/>
        <w:rPr>
          <w:noProof/>
        </w:rPr>
      </w:pPr>
      <w:r w:rsidRPr="00E80B4B">
        <w:rPr>
          <w:noProof/>
        </w:rPr>
        <w:t>3.</w:t>
      </w:r>
      <w:r w:rsidRPr="00E80B4B">
        <w:rPr>
          <w:noProof/>
        </w:rPr>
        <w:tab/>
      </w:r>
      <w:r w:rsidRPr="00E80B4B">
        <w:rPr>
          <w:i/>
          <w:iCs/>
          <w:noProof/>
        </w:rPr>
        <w:t>Foreign Government Talent Recruitment Program</w:t>
      </w:r>
      <w:r w:rsidRPr="00E80B4B">
        <w:rPr>
          <w:noProof/>
        </w:rPr>
        <w:t xml:space="preserve"> refers to an effort directly or indirectly organized, managed, or funded by a foreign government to recruit science and technology professionals or students (regardless of citizenship or national origin, and whether having a full-time or part-time position).  The term is more fully defined in the DOE Order, Attachment 2, which is hereby incorporated by reference.</w:t>
      </w:r>
    </w:p>
    <w:p w14:paraId="573205EB" w14:textId="77777777" w:rsidR="00E9175C" w:rsidRDefault="00E9175C" w:rsidP="00512CB8">
      <w:pPr>
        <w:pStyle w:val="ArticleHeader"/>
        <w:numPr>
          <w:ilvl w:val="0"/>
          <w:numId w:val="0"/>
        </w:numPr>
        <w:ind w:left="720"/>
      </w:pPr>
    </w:p>
    <w:p w14:paraId="44C81E65" w14:textId="333018BE" w:rsidR="00CE1AA5" w:rsidRPr="00740B22" w:rsidRDefault="00CE1AA5" w:rsidP="00683387">
      <w:pPr>
        <w:pStyle w:val="ArticleHeader"/>
      </w:pPr>
      <w:r w:rsidRPr="00740B22">
        <w:t>DEBARMENT ELIGIBILITY CERTIFICATION</w:t>
      </w:r>
    </w:p>
    <w:p w14:paraId="4C42D917" w14:textId="77777777" w:rsidR="00CE1AA5" w:rsidRPr="00740B22" w:rsidRDefault="00CE1AA5" w:rsidP="00D542AE">
      <w:pPr>
        <w:keepNext/>
      </w:pPr>
    </w:p>
    <w:p w14:paraId="3B8F1D60" w14:textId="77777777" w:rsidR="00CE1AA5" w:rsidRPr="00740B22" w:rsidRDefault="00CE1AA5" w:rsidP="00740B22">
      <w:pPr>
        <w:pStyle w:val="ArticleParagraph"/>
      </w:pPr>
      <w:r w:rsidRPr="00740B22">
        <w:t>By acceptance of this Subcontract, the Subcontractor certifies, to the best of its knowledge and belief, it and its principals are not presently debarred, suspended, proposed for debarment, or declared ineligible for the award of contracts (including subcontracts) by any agency of the Federal Government.</w:t>
      </w:r>
    </w:p>
    <w:p w14:paraId="5009A58C" w14:textId="77777777" w:rsidR="008B3B16" w:rsidRDefault="008B3B16" w:rsidP="008B3B16">
      <w:pPr>
        <w:rPr>
          <w:highlight w:val="yellow"/>
        </w:rPr>
      </w:pPr>
    </w:p>
    <w:p w14:paraId="1D20CE78" w14:textId="2C785ACB" w:rsidR="008B3B16" w:rsidRPr="00001598" w:rsidRDefault="008B3B16" w:rsidP="008B3B16">
      <w:pPr>
        <w:keepNext/>
        <w:rPr>
          <w:b/>
          <w:sz w:val="28"/>
          <w:szCs w:val="28"/>
        </w:rPr>
      </w:pPr>
      <w:r>
        <w:rPr>
          <w:b/>
          <w:sz w:val="28"/>
          <w:szCs w:val="28"/>
        </w:rPr>
        <w:lastRenderedPageBreak/>
        <w:t>ARTICLE 1</w:t>
      </w:r>
      <w:r w:rsidR="00D77989">
        <w:rPr>
          <w:b/>
          <w:sz w:val="28"/>
          <w:szCs w:val="28"/>
        </w:rPr>
        <w:t>9</w:t>
      </w:r>
      <w:r w:rsidR="00EA26E0">
        <w:rPr>
          <w:b/>
          <w:sz w:val="28"/>
          <w:szCs w:val="28"/>
        </w:rPr>
        <w:t xml:space="preserve"> - </w:t>
      </w:r>
      <w:r w:rsidRPr="00001598">
        <w:rPr>
          <w:b/>
          <w:sz w:val="28"/>
          <w:szCs w:val="28"/>
        </w:rPr>
        <w:t>OBLIGATIONS OF THE PARTIES</w:t>
      </w:r>
    </w:p>
    <w:p w14:paraId="0E9D8692" w14:textId="77777777" w:rsidR="008B3B16" w:rsidRPr="00001598" w:rsidRDefault="008B3B16" w:rsidP="008B3B16">
      <w:pPr>
        <w:keepNext/>
        <w:rPr>
          <w:b/>
          <w:sz w:val="28"/>
          <w:szCs w:val="28"/>
        </w:rPr>
      </w:pPr>
    </w:p>
    <w:p w14:paraId="4C4052A0" w14:textId="77777777" w:rsidR="008B3B16" w:rsidRPr="00D770E9" w:rsidRDefault="008B3B16" w:rsidP="008B3B16">
      <w:pPr>
        <w:jc w:val="both"/>
      </w:pPr>
      <w:r>
        <w:t xml:space="preserve">LLNS and the Subcontractor agree that this Subcontract involves cutting-edge technology, research, and development under aggressive schedules. LLNS and the Subcontractor agree (i) that the Subcontractor shall use reasonable efforts to perform in accordance with the milestones, requirements, and/or schedules set forth in this Subcontract, and (ii) to reasonably consider limitations that may occur in meeting obligations under this Subcontract. If the Subcontractor is unable to meet its performance obligations, then LLNS and the Subcontractor hereby agree to negotiate the Statement of Work and/or the Subcontract price, if necessary, to reflect changes to the Subcontractor’s performance obligations. LLNS and the Subcontractor agree to use this process to address performance issues before resorting to any rights or remedies available by way of the </w:t>
      </w:r>
      <w:r>
        <w:rPr>
          <w:i/>
        </w:rPr>
        <w:t>DISPUTES</w:t>
      </w:r>
      <w:r>
        <w:t xml:space="preserve"> or </w:t>
      </w:r>
      <w:r>
        <w:rPr>
          <w:i/>
        </w:rPr>
        <w:t xml:space="preserve">TERMINATION </w:t>
      </w:r>
      <w:r>
        <w:t>clauses of the GENERAL PROVISIONS.</w:t>
      </w:r>
    </w:p>
    <w:p w14:paraId="35E5E832" w14:textId="77777777" w:rsidR="008B3B16" w:rsidRPr="00A935B8" w:rsidRDefault="008B3B16" w:rsidP="00F13A82">
      <w:pPr>
        <w:rPr>
          <w:highlight w:val="yellow"/>
        </w:rPr>
      </w:pPr>
    </w:p>
    <w:p w14:paraId="0AFE6EB6" w14:textId="508927B1" w:rsidR="00CE1AA5" w:rsidRPr="00740B22" w:rsidRDefault="008B25DE" w:rsidP="008B25DE">
      <w:pPr>
        <w:pStyle w:val="ArticleHeader"/>
        <w:numPr>
          <w:ilvl w:val="0"/>
          <w:numId w:val="0"/>
        </w:numPr>
        <w:ind w:left="720" w:hanging="720"/>
      </w:pPr>
      <w:r>
        <w:t xml:space="preserve">ARTICLE </w:t>
      </w:r>
      <w:r w:rsidR="00D77989">
        <w:t>20</w:t>
      </w:r>
      <w:r>
        <w:t xml:space="preserve"> - </w:t>
      </w:r>
      <w:r w:rsidR="00CE1AA5" w:rsidRPr="00740B22">
        <w:t>GENERAL PROVISIONS</w:t>
      </w:r>
    </w:p>
    <w:p w14:paraId="5DE9F762" w14:textId="77777777" w:rsidR="00CE1AA5" w:rsidRPr="00740B22" w:rsidRDefault="00CE1AA5" w:rsidP="00D542AE">
      <w:pPr>
        <w:keepNext/>
      </w:pPr>
    </w:p>
    <w:p w14:paraId="73C45E70" w14:textId="77777777" w:rsidR="00CE1AA5" w:rsidRPr="00740B22" w:rsidRDefault="00CE1AA5" w:rsidP="00740B22">
      <w:pPr>
        <w:pStyle w:val="ArticleParagraph-A"/>
      </w:pPr>
      <w:r w:rsidRPr="00740B22">
        <w:t>A.</w:t>
      </w:r>
      <w:r w:rsidRPr="00740B22">
        <w:tab/>
        <w:t>The clauses listed in the incorporated GENERAL PROVISIONS shall be applicable to this Subcontract based on the value of the Subcontract, the status of the Subcontractor, and the nature and location of the work as indicated in the GENERAL PROVISIONS.  As used therein, the term “Seller” shall mean “Subcontractor,” and the terms “Purchase Order” and “PO” shall mean “Subcontract.”</w:t>
      </w:r>
    </w:p>
    <w:p w14:paraId="4F67E7D9" w14:textId="77777777" w:rsidR="00CE1AA5" w:rsidRPr="00B077EC" w:rsidRDefault="00CE1AA5" w:rsidP="00B077EC">
      <w:pPr>
        <w:pStyle w:val="ArticleParagraph-A"/>
        <w:rPr>
          <w:noProof/>
        </w:rPr>
      </w:pPr>
    </w:p>
    <w:p w14:paraId="60363EBB" w14:textId="77777777" w:rsidR="00CE1AA5" w:rsidRPr="00A935B8" w:rsidRDefault="00CE1AA5" w:rsidP="00B077EC">
      <w:pPr>
        <w:pStyle w:val="ArticleParagraph-A"/>
        <w:rPr>
          <w:highlight w:val="yellow"/>
        </w:rPr>
      </w:pPr>
      <w:r w:rsidRPr="00B077EC">
        <w:rPr>
          <w:noProof/>
        </w:rPr>
        <w:t>B.</w:t>
      </w:r>
      <w:r w:rsidRPr="00B077EC">
        <w:rPr>
          <w:noProof/>
        </w:rPr>
        <w:tab/>
        <w:t xml:space="preserve">This Subcontract shall not involve access to classified information and/or special nuclear material, or unescorted access to </w:t>
      </w:r>
      <w:r w:rsidRPr="004C70D7">
        <w:rPr>
          <w:i/>
          <w:noProof/>
        </w:rPr>
        <w:t>Limited</w:t>
      </w:r>
      <w:r w:rsidRPr="00B077EC">
        <w:rPr>
          <w:noProof/>
        </w:rPr>
        <w:t xml:space="preserve"> security areas. Accordingly, the clauses listed in the GENERAL PROVISIONS related to such work shall not apply</w:t>
      </w:r>
      <w:r w:rsidRPr="00B077EC">
        <w:rPr>
          <w:rStyle w:val="ArticleParagraphChar"/>
          <w:noProof/>
        </w:rPr>
        <w:t>.</w:t>
      </w:r>
    </w:p>
    <w:p w14:paraId="1FC121A2" w14:textId="4EBE0B83" w:rsidR="0028053F" w:rsidRDefault="0028053F" w:rsidP="00821993">
      <w:pPr>
        <w:pStyle w:val="ArticleParagraph-A"/>
        <w:ind w:left="0" w:firstLine="0"/>
        <w:rPr>
          <w:noProof/>
        </w:rPr>
      </w:pPr>
    </w:p>
    <w:p w14:paraId="2EBA1A4C" w14:textId="0973C290" w:rsidR="009412FF" w:rsidRDefault="009412FF" w:rsidP="00362B19">
      <w:pPr>
        <w:pStyle w:val="ArticleParagraph-A"/>
        <w:rPr>
          <w:rFonts w:asciiTheme="minorHAnsi" w:hAnsiTheme="minorHAnsi" w:cstheme="minorHAnsi"/>
          <w:sz w:val="20"/>
          <w:szCs w:val="20"/>
          <w:highlight w:val="cyan"/>
        </w:rPr>
      </w:pPr>
      <w:r w:rsidRPr="009412FF">
        <w:rPr>
          <w:rFonts w:asciiTheme="minorHAnsi" w:hAnsiTheme="minorHAnsi" w:cstheme="minorHAnsi"/>
          <w:b/>
          <w:noProof/>
          <w:sz w:val="20"/>
          <w:szCs w:val="20"/>
          <w:highlight w:val="cyan"/>
        </w:rPr>
        <w:t>NOTE:</w:t>
      </w:r>
      <w:r w:rsidRPr="009412FF">
        <w:rPr>
          <w:rFonts w:asciiTheme="minorHAnsi" w:hAnsiTheme="minorHAnsi" w:cstheme="minorHAnsi"/>
          <w:bCs/>
          <w:noProof/>
          <w:sz w:val="20"/>
          <w:szCs w:val="20"/>
          <w:highlight w:val="cyan"/>
        </w:rPr>
        <w:t xml:space="preserve"> The following Paragraph C applies if the selected offeror / Subcontractor </w:t>
      </w:r>
      <w:r w:rsidRPr="009412FF">
        <w:rPr>
          <w:rFonts w:asciiTheme="minorHAnsi" w:hAnsiTheme="minorHAnsi" w:cstheme="minorHAnsi"/>
          <w:sz w:val="20"/>
          <w:szCs w:val="20"/>
          <w:highlight w:val="cyan"/>
        </w:rPr>
        <w:t>is a Domestic Small Business or Non-Profit</w:t>
      </w:r>
    </w:p>
    <w:p w14:paraId="1CB08DB7" w14:textId="2E46088C" w:rsidR="009412FF" w:rsidRPr="009412FF" w:rsidRDefault="009412FF" w:rsidP="00362B19">
      <w:pPr>
        <w:pStyle w:val="ArticleParagraph-A"/>
        <w:rPr>
          <w:rFonts w:asciiTheme="minorHAnsi" w:hAnsiTheme="minorHAnsi" w:cstheme="minorHAnsi"/>
          <w:noProof/>
          <w:sz w:val="20"/>
          <w:szCs w:val="20"/>
        </w:rPr>
      </w:pPr>
      <w:r w:rsidRPr="009412FF">
        <w:rPr>
          <w:rFonts w:asciiTheme="minorHAnsi" w:hAnsiTheme="minorHAnsi" w:cstheme="minorHAnsi"/>
          <w:sz w:val="20"/>
          <w:szCs w:val="20"/>
          <w:highlight w:val="cyan"/>
        </w:rPr>
        <w:t>Organization, as defined at FAR 27.301.</w:t>
      </w:r>
    </w:p>
    <w:p w14:paraId="7F19608B" w14:textId="77777777" w:rsidR="009412FF" w:rsidRDefault="009412FF" w:rsidP="00362B19">
      <w:pPr>
        <w:pStyle w:val="ArticleParagraph-A"/>
        <w:rPr>
          <w:noProof/>
        </w:rPr>
      </w:pPr>
    </w:p>
    <w:p w14:paraId="6403FCE2" w14:textId="77777777" w:rsidR="00CE1AA5" w:rsidRDefault="00CE1AA5" w:rsidP="00362B19">
      <w:pPr>
        <w:pStyle w:val="ArticleParagraph-A"/>
        <w:rPr>
          <w:noProof/>
        </w:rPr>
      </w:pPr>
      <w:r w:rsidRPr="00297750">
        <w:rPr>
          <w:noProof/>
        </w:rPr>
        <w:t>C.</w:t>
      </w:r>
      <w:r w:rsidRPr="00297750">
        <w:rPr>
          <w:noProof/>
        </w:rPr>
        <w:tab/>
        <w:t xml:space="preserve">This </w:t>
      </w:r>
      <w:r>
        <w:rPr>
          <w:noProof/>
        </w:rPr>
        <w:t>Subcontract</w:t>
      </w:r>
      <w:r w:rsidRPr="00297750">
        <w:rPr>
          <w:noProof/>
        </w:rPr>
        <w:t xml:space="preserve"> is for the conduct of research, development, or demonstration (RD&amp;D) work, or design work involving non-standard types of construction. Accordingly, the clauses listed in the GENERAL PROVISIONS related to such work shall apply. The applicable Patent Rights clause of the GENERAL PROVISIONS shall be the clause entitled </w:t>
      </w:r>
      <w:r w:rsidRPr="00297750">
        <w:rPr>
          <w:i/>
          <w:caps/>
          <w:noProof/>
        </w:rPr>
        <w:t>Patent Rights-Retention by the Contractor</w:t>
      </w:r>
      <w:r>
        <w:rPr>
          <w:i/>
          <w:caps/>
          <w:noProof/>
        </w:rPr>
        <w:t>.</w:t>
      </w:r>
    </w:p>
    <w:p w14:paraId="42D45A48" w14:textId="4FC2A6BE" w:rsidR="008B3B16" w:rsidRDefault="008B3B16" w:rsidP="008B3B16"/>
    <w:p w14:paraId="15AC4162" w14:textId="3A05E2B8" w:rsidR="009412FF" w:rsidRDefault="009412FF" w:rsidP="009412FF">
      <w:pPr>
        <w:pStyle w:val="ArticleParagraph-A"/>
        <w:rPr>
          <w:rFonts w:asciiTheme="minorHAnsi" w:hAnsiTheme="minorHAnsi" w:cstheme="minorHAnsi"/>
          <w:sz w:val="20"/>
          <w:szCs w:val="20"/>
          <w:highlight w:val="cyan"/>
        </w:rPr>
      </w:pPr>
      <w:r w:rsidRPr="009412FF">
        <w:rPr>
          <w:rFonts w:asciiTheme="minorHAnsi" w:hAnsiTheme="minorHAnsi" w:cstheme="minorHAnsi"/>
          <w:b/>
          <w:noProof/>
          <w:sz w:val="20"/>
          <w:szCs w:val="20"/>
          <w:highlight w:val="cyan"/>
        </w:rPr>
        <w:t>NOTE:</w:t>
      </w:r>
      <w:r w:rsidRPr="009412FF">
        <w:rPr>
          <w:rFonts w:asciiTheme="minorHAnsi" w:hAnsiTheme="minorHAnsi" w:cstheme="minorHAnsi"/>
          <w:bCs/>
          <w:noProof/>
          <w:sz w:val="20"/>
          <w:szCs w:val="20"/>
          <w:highlight w:val="cyan"/>
        </w:rPr>
        <w:t xml:space="preserve"> The following Paragraph C applies if the selected offeror / Subcontractor </w:t>
      </w:r>
      <w:r w:rsidRPr="009412FF">
        <w:rPr>
          <w:rFonts w:asciiTheme="minorHAnsi" w:hAnsiTheme="minorHAnsi" w:cstheme="minorHAnsi"/>
          <w:sz w:val="20"/>
          <w:szCs w:val="20"/>
          <w:highlight w:val="cyan"/>
        </w:rPr>
        <w:t>is not a Domestic Small Business or Non</w:t>
      </w:r>
    </w:p>
    <w:p w14:paraId="510BE72D" w14:textId="7D67F877" w:rsidR="00FA6DA8" w:rsidRPr="009412FF" w:rsidRDefault="009412FF" w:rsidP="009412FF">
      <w:pPr>
        <w:pStyle w:val="ArticleParagraph-A"/>
        <w:rPr>
          <w:rFonts w:asciiTheme="minorHAnsi" w:hAnsiTheme="minorHAnsi" w:cstheme="minorHAnsi"/>
          <w:sz w:val="20"/>
          <w:szCs w:val="20"/>
        </w:rPr>
      </w:pPr>
      <w:r w:rsidRPr="009412FF">
        <w:rPr>
          <w:rFonts w:asciiTheme="minorHAnsi" w:hAnsiTheme="minorHAnsi" w:cstheme="minorHAnsi"/>
          <w:sz w:val="20"/>
          <w:szCs w:val="20"/>
          <w:highlight w:val="cyan"/>
        </w:rPr>
        <w:t>Profit Organization, as defined at FAR 27.301.</w:t>
      </w:r>
    </w:p>
    <w:p w14:paraId="1D274B50" w14:textId="18B3FA9F" w:rsidR="00FA6DA8" w:rsidRDefault="00FA6DA8" w:rsidP="008B3B16"/>
    <w:p w14:paraId="63C8D28E" w14:textId="5074854A" w:rsidR="00FA6DA8" w:rsidRDefault="00FA6DA8" w:rsidP="00FA6DA8">
      <w:pPr>
        <w:pStyle w:val="ArticleParagraph-A"/>
        <w:rPr>
          <w:noProof/>
        </w:rPr>
      </w:pPr>
      <w:r w:rsidRPr="00297750">
        <w:rPr>
          <w:noProof/>
        </w:rPr>
        <w:t>C.</w:t>
      </w:r>
      <w:r w:rsidRPr="00297750">
        <w:rPr>
          <w:noProof/>
        </w:rPr>
        <w:tab/>
        <w:t xml:space="preserve">This </w:t>
      </w:r>
      <w:r>
        <w:rPr>
          <w:noProof/>
        </w:rPr>
        <w:t>Subcontract</w:t>
      </w:r>
      <w:r w:rsidRPr="00297750">
        <w:rPr>
          <w:noProof/>
        </w:rPr>
        <w:t xml:space="preserve"> is for the conduct of research, development, or demonstration (RD&amp;D) work, or design work involving non-standard types of construction. Accordingly, the clauses listed in the GENERAL PROVISIONS related to such work shall apply. The applicable Patent Rights clause of the GENERAL PROVISIONS shall be the clause entitled </w:t>
      </w:r>
      <w:r w:rsidRPr="00297750">
        <w:rPr>
          <w:i/>
          <w:caps/>
          <w:noProof/>
        </w:rPr>
        <w:t>Patent Rights-</w:t>
      </w:r>
      <w:r>
        <w:rPr>
          <w:i/>
          <w:caps/>
          <w:noProof/>
        </w:rPr>
        <w:t>ACQUISITION</w:t>
      </w:r>
      <w:r w:rsidRPr="00297750">
        <w:rPr>
          <w:i/>
          <w:caps/>
          <w:noProof/>
        </w:rPr>
        <w:t xml:space="preserve"> by the </w:t>
      </w:r>
      <w:r>
        <w:rPr>
          <w:i/>
          <w:caps/>
          <w:noProof/>
        </w:rPr>
        <w:t>GOVERNMENT.</w:t>
      </w:r>
    </w:p>
    <w:p w14:paraId="2D437AC4" w14:textId="73EE9D0B" w:rsidR="008365A7" w:rsidRDefault="008365A7" w:rsidP="00715E83"/>
    <w:p w14:paraId="240BB56B" w14:textId="703B9E9D" w:rsidR="00821993" w:rsidRDefault="00821993" w:rsidP="00715E83"/>
    <w:p w14:paraId="3A40D795" w14:textId="649B545B" w:rsidR="00821993" w:rsidRDefault="00821993" w:rsidP="00715E83"/>
    <w:p w14:paraId="3600101C" w14:textId="77777777" w:rsidR="00821993" w:rsidRPr="00821993" w:rsidRDefault="00821993" w:rsidP="00715E83"/>
    <w:p w14:paraId="564F1FFB" w14:textId="411F6014" w:rsidR="00CC6354" w:rsidRDefault="00821993" w:rsidP="00CC6354">
      <w:pPr>
        <w:pStyle w:val="ArticleParagraph-A"/>
        <w:rPr>
          <w:noProof/>
        </w:rPr>
      </w:pPr>
      <w:r w:rsidRPr="00821993">
        <w:rPr>
          <w:noProof/>
        </w:rPr>
        <w:lastRenderedPageBreak/>
        <w:t>D.</w:t>
      </w:r>
      <w:r w:rsidR="00CC6354">
        <w:rPr>
          <w:noProof/>
        </w:rPr>
        <w:tab/>
        <w:t xml:space="preserve">By this reference, the </w:t>
      </w:r>
      <w:r w:rsidR="00CC6354" w:rsidRPr="00BA63C5">
        <w:rPr>
          <w:noProof/>
        </w:rPr>
        <w:t>following clause is hereby</w:t>
      </w:r>
      <w:r w:rsidR="00CC6354">
        <w:rPr>
          <w:noProof/>
        </w:rPr>
        <w:t xml:space="preserve"> added to the </w:t>
      </w:r>
      <w:r w:rsidR="00CC6354">
        <w:rPr>
          <w:i/>
          <w:noProof/>
        </w:rPr>
        <w:t>CLAUSES INCORPORATED BY REFERENCE</w:t>
      </w:r>
      <w:r w:rsidR="00CC6354">
        <w:rPr>
          <w:noProof/>
        </w:rPr>
        <w:t xml:space="preserve"> clause of the GENERAL PROVISIONS, under the </w:t>
      </w:r>
      <w:r w:rsidR="00CC6354" w:rsidRPr="00B76162">
        <w:rPr>
          <w:i/>
          <w:noProof/>
        </w:rPr>
        <w:t>Applicable to all Subcontracts</w:t>
      </w:r>
      <w:r w:rsidR="00CC6354">
        <w:rPr>
          <w:noProof/>
        </w:rPr>
        <w:t xml:space="preserve"> section.</w:t>
      </w:r>
    </w:p>
    <w:p w14:paraId="348ACB8F" w14:textId="77777777" w:rsidR="00CC6354" w:rsidRDefault="00CC6354" w:rsidP="00CC6354">
      <w:pPr>
        <w:rPr>
          <w:noProof/>
          <w:color w:val="000000"/>
        </w:rPr>
      </w:pPr>
    </w:p>
    <w:tbl>
      <w:tblPr>
        <w:tblW w:w="0" w:type="auto"/>
        <w:tblInd w:w="800" w:type="dxa"/>
        <w:tblLayout w:type="fixed"/>
        <w:tblCellMar>
          <w:left w:w="80" w:type="dxa"/>
          <w:right w:w="80" w:type="dxa"/>
        </w:tblCellMar>
        <w:tblLook w:val="0000" w:firstRow="0" w:lastRow="0" w:firstColumn="0" w:lastColumn="0" w:noHBand="0" w:noVBand="0"/>
      </w:tblPr>
      <w:tblGrid>
        <w:gridCol w:w="1980"/>
        <w:gridCol w:w="7380"/>
      </w:tblGrid>
      <w:tr w:rsidR="00CC6354" w:rsidRPr="00BA63C5" w14:paraId="5CEADD2A" w14:textId="77777777" w:rsidTr="00CC6354">
        <w:trPr>
          <w:cantSplit/>
          <w:trHeight w:val="117"/>
        </w:trPr>
        <w:tc>
          <w:tcPr>
            <w:tcW w:w="1980" w:type="dxa"/>
          </w:tcPr>
          <w:p w14:paraId="4BAFEB97" w14:textId="77777777" w:rsidR="00CC6354" w:rsidRPr="00710736" w:rsidRDefault="00CC6354" w:rsidP="00735EFA">
            <w:pPr>
              <w:rPr>
                <w:noProof/>
                <w:sz w:val="20"/>
                <w:szCs w:val="20"/>
              </w:rPr>
            </w:pPr>
            <w:r w:rsidRPr="00710736">
              <w:rPr>
                <w:noProof/>
                <w:sz w:val="20"/>
                <w:szCs w:val="20"/>
              </w:rPr>
              <w:t>FAR 52.222-29</w:t>
            </w:r>
          </w:p>
        </w:tc>
        <w:tc>
          <w:tcPr>
            <w:tcW w:w="7380" w:type="dxa"/>
          </w:tcPr>
          <w:p w14:paraId="36EDD400" w14:textId="7E36FA22" w:rsidR="00CC6354" w:rsidRPr="00710736" w:rsidRDefault="00CC6354" w:rsidP="00735EFA">
            <w:pPr>
              <w:rPr>
                <w:caps/>
                <w:noProof/>
                <w:position w:val="-4"/>
                <w:sz w:val="20"/>
                <w:szCs w:val="20"/>
              </w:rPr>
            </w:pPr>
            <w:r>
              <w:rPr>
                <w:noProof/>
                <w:position w:val="-4"/>
                <w:sz w:val="20"/>
                <w:szCs w:val="20"/>
              </w:rPr>
              <w:t>NOTICE OF VISA DENIAL</w:t>
            </w:r>
            <w:r w:rsidRPr="00710736">
              <w:rPr>
                <w:noProof/>
                <w:position w:val="-4"/>
                <w:sz w:val="20"/>
                <w:szCs w:val="20"/>
              </w:rPr>
              <w:t xml:space="preserve"> (</w:t>
            </w:r>
            <w:r>
              <w:rPr>
                <w:noProof/>
                <w:position w:val="-4"/>
                <w:sz w:val="20"/>
                <w:szCs w:val="20"/>
              </w:rPr>
              <w:t>JUN</w:t>
            </w:r>
            <w:r w:rsidRPr="00710736">
              <w:rPr>
                <w:noProof/>
                <w:position w:val="-4"/>
                <w:sz w:val="20"/>
                <w:szCs w:val="20"/>
              </w:rPr>
              <w:t xml:space="preserve"> 2003)</w:t>
            </w:r>
            <w:r>
              <w:rPr>
                <w:noProof/>
                <w:position w:val="-4"/>
                <w:sz w:val="20"/>
                <w:szCs w:val="20"/>
              </w:rPr>
              <w:t>. Applies</w:t>
            </w:r>
            <w:r w:rsidR="00E45871">
              <w:rPr>
                <w:noProof/>
                <w:position w:val="-4"/>
                <w:sz w:val="20"/>
                <w:szCs w:val="20"/>
              </w:rPr>
              <w:t xml:space="preserve"> if the Subcontractor is required to perform in or on behalf of a foreign country and if the Subcontract includes FAR 52.222-26 Equal Opportunity.</w:t>
            </w:r>
          </w:p>
        </w:tc>
      </w:tr>
    </w:tbl>
    <w:p w14:paraId="5BD004A5" w14:textId="77777777" w:rsidR="00CC6354" w:rsidRDefault="00CC6354" w:rsidP="00715E83">
      <w:pPr>
        <w:rPr>
          <w:noProof/>
        </w:rPr>
      </w:pPr>
    </w:p>
    <w:p w14:paraId="6CF2BA92" w14:textId="57EF0743" w:rsidR="00CE1AA5" w:rsidRDefault="00821993" w:rsidP="00934366">
      <w:pPr>
        <w:pStyle w:val="ArticleParagraph-A"/>
        <w:keepNext/>
        <w:rPr>
          <w:noProof/>
        </w:rPr>
      </w:pPr>
      <w:r>
        <w:rPr>
          <w:noProof/>
        </w:rPr>
        <w:t>E</w:t>
      </w:r>
      <w:r w:rsidR="00CE1AA5" w:rsidRPr="00B965F9">
        <w:rPr>
          <w:noProof/>
        </w:rPr>
        <w:t>.</w:t>
      </w:r>
      <w:r w:rsidR="00CE1AA5" w:rsidRPr="00B965F9">
        <w:rPr>
          <w:noProof/>
        </w:rPr>
        <w:tab/>
      </w:r>
      <w:r w:rsidR="00C044C7">
        <w:rPr>
          <w:noProof/>
        </w:rPr>
        <w:t>T</w:t>
      </w:r>
      <w:r w:rsidR="00CE1AA5" w:rsidRPr="00E80B4B">
        <w:rPr>
          <w:noProof/>
        </w:rPr>
        <w:t xml:space="preserve">he following clauses </w:t>
      </w:r>
      <w:r w:rsidR="006D56F0">
        <w:rPr>
          <w:noProof/>
        </w:rPr>
        <w:t>listed in the</w:t>
      </w:r>
      <w:r w:rsidR="00CE1AA5" w:rsidRPr="00E80B4B">
        <w:rPr>
          <w:noProof/>
        </w:rPr>
        <w:t xml:space="preserve"> </w:t>
      </w:r>
      <w:r w:rsidR="00CE1AA5" w:rsidRPr="00E80B4B">
        <w:rPr>
          <w:i/>
          <w:noProof/>
        </w:rPr>
        <w:t>Applicable to all Purchase Orders (POs)</w:t>
      </w:r>
      <w:r w:rsidR="00CE1AA5" w:rsidRPr="00E80B4B">
        <w:rPr>
          <w:noProof/>
        </w:rPr>
        <w:t xml:space="preserve"> section</w:t>
      </w:r>
      <w:r w:rsidR="00CE1AA5" w:rsidRPr="00E80B4B">
        <w:rPr>
          <w:i/>
          <w:noProof/>
        </w:rPr>
        <w:t xml:space="preserve"> </w:t>
      </w:r>
      <w:r w:rsidR="00CE1AA5" w:rsidRPr="00E80B4B">
        <w:rPr>
          <w:iCs/>
          <w:noProof/>
        </w:rPr>
        <w:t>of the</w:t>
      </w:r>
      <w:r w:rsidR="00CE1AA5" w:rsidRPr="00E80B4B">
        <w:rPr>
          <w:i/>
          <w:noProof/>
        </w:rPr>
        <w:t xml:space="preserve"> CLAUSES INCORPORATED BY REFERENCE</w:t>
      </w:r>
      <w:r w:rsidR="00CE1AA5" w:rsidRPr="00E80B4B">
        <w:rPr>
          <w:noProof/>
        </w:rPr>
        <w:t xml:space="preserve"> clause of the GENERAL PROVISIONS</w:t>
      </w:r>
      <w:r w:rsidR="006D56F0">
        <w:rPr>
          <w:noProof/>
        </w:rPr>
        <w:t xml:space="preserve"> are hereby modified as follows</w:t>
      </w:r>
      <w:r w:rsidR="00CE1AA5" w:rsidRPr="00E80B4B">
        <w:rPr>
          <w:noProof/>
        </w:rPr>
        <w:t>.</w:t>
      </w:r>
    </w:p>
    <w:p w14:paraId="14C4FA71" w14:textId="29FF9894" w:rsidR="00C044C7" w:rsidRDefault="00C044C7" w:rsidP="00934366">
      <w:pPr>
        <w:pStyle w:val="ArticleParagraph-A"/>
        <w:keepNext/>
        <w:rPr>
          <w:noProof/>
        </w:rPr>
      </w:pPr>
    </w:p>
    <w:tbl>
      <w:tblPr>
        <w:tblStyle w:val="TableGrid"/>
        <w:tblW w:w="0" w:type="auto"/>
        <w:tblInd w:w="792" w:type="dxa"/>
        <w:tblCellMar>
          <w:left w:w="72" w:type="dxa"/>
          <w:right w:w="72" w:type="dxa"/>
        </w:tblCellMar>
        <w:tblLook w:val="01E0" w:firstRow="1" w:lastRow="1" w:firstColumn="1" w:lastColumn="1" w:noHBand="0" w:noVBand="0"/>
      </w:tblPr>
      <w:tblGrid>
        <w:gridCol w:w="2070"/>
        <w:gridCol w:w="6750"/>
      </w:tblGrid>
      <w:tr w:rsidR="00C044C7" w:rsidRPr="00A5779E" w14:paraId="4A67D0A2" w14:textId="77777777" w:rsidTr="00373FDA">
        <w:trPr>
          <w:cantSplit/>
          <w:tblHeader/>
        </w:trPr>
        <w:tc>
          <w:tcPr>
            <w:tcW w:w="2070" w:type="dxa"/>
          </w:tcPr>
          <w:p w14:paraId="43D94495" w14:textId="77777777" w:rsidR="00C044C7" w:rsidRPr="00A5779E" w:rsidRDefault="00C044C7" w:rsidP="00373FDA">
            <w:pPr>
              <w:keepNext/>
              <w:rPr>
                <w:b/>
                <w:sz w:val="20"/>
                <w:szCs w:val="20"/>
              </w:rPr>
            </w:pPr>
            <w:r w:rsidRPr="00A5779E">
              <w:rPr>
                <w:b/>
                <w:sz w:val="20"/>
                <w:szCs w:val="20"/>
              </w:rPr>
              <w:t>GP/FAR/DEAR</w:t>
            </w:r>
          </w:p>
          <w:p w14:paraId="0128D59C" w14:textId="77777777" w:rsidR="00C044C7" w:rsidRPr="00A5779E" w:rsidRDefault="00C044C7" w:rsidP="00373FDA">
            <w:pPr>
              <w:pStyle w:val="AText"/>
              <w:keepNext/>
              <w:ind w:left="0" w:firstLine="0"/>
              <w:jc w:val="left"/>
              <w:rPr>
                <w:b/>
                <w:sz w:val="20"/>
              </w:rPr>
            </w:pPr>
            <w:r w:rsidRPr="00A5779E">
              <w:rPr>
                <w:b/>
                <w:sz w:val="20"/>
              </w:rPr>
              <w:t>REFERENCE</w:t>
            </w:r>
          </w:p>
        </w:tc>
        <w:tc>
          <w:tcPr>
            <w:tcW w:w="6750" w:type="dxa"/>
          </w:tcPr>
          <w:p w14:paraId="16976E1B" w14:textId="77777777" w:rsidR="00C044C7" w:rsidRPr="00A5779E" w:rsidRDefault="00C044C7" w:rsidP="00373FDA">
            <w:pPr>
              <w:rPr>
                <w:b/>
                <w:sz w:val="20"/>
                <w:szCs w:val="20"/>
              </w:rPr>
            </w:pPr>
            <w:r w:rsidRPr="00A5779E">
              <w:rPr>
                <w:b/>
                <w:sz w:val="20"/>
                <w:szCs w:val="20"/>
              </w:rPr>
              <w:t>TITLE</w:t>
            </w:r>
          </w:p>
        </w:tc>
      </w:tr>
      <w:tr w:rsidR="00C044C7" w:rsidRPr="00A5779E" w14:paraId="7A08162F" w14:textId="77777777" w:rsidTr="00373FDA">
        <w:trPr>
          <w:cantSplit/>
        </w:trPr>
        <w:tc>
          <w:tcPr>
            <w:tcW w:w="2070" w:type="dxa"/>
          </w:tcPr>
          <w:p w14:paraId="75BE4ACB" w14:textId="77777777" w:rsidR="00C044C7" w:rsidRPr="00C044C7" w:rsidRDefault="00C044C7" w:rsidP="00373FDA">
            <w:pPr>
              <w:rPr>
                <w:noProof/>
                <w:sz w:val="20"/>
                <w:szCs w:val="20"/>
              </w:rPr>
            </w:pPr>
            <w:r w:rsidRPr="00C044C7">
              <w:rPr>
                <w:noProof/>
                <w:sz w:val="20"/>
                <w:szCs w:val="20"/>
              </w:rPr>
              <w:t>FAR 52.204-25</w:t>
            </w:r>
          </w:p>
          <w:p w14:paraId="0F3F87E9" w14:textId="77777777" w:rsidR="00C044C7" w:rsidRPr="00C044C7" w:rsidRDefault="00C044C7" w:rsidP="00373FDA">
            <w:pPr>
              <w:rPr>
                <w:noProof/>
                <w:sz w:val="20"/>
                <w:szCs w:val="20"/>
              </w:rPr>
            </w:pPr>
          </w:p>
          <w:p w14:paraId="248645A3" w14:textId="77777777" w:rsidR="00C044C7" w:rsidRPr="00C044C7" w:rsidRDefault="00C044C7" w:rsidP="00373FDA">
            <w:pPr>
              <w:rPr>
                <w:noProof/>
                <w:sz w:val="20"/>
                <w:szCs w:val="20"/>
              </w:rPr>
            </w:pPr>
          </w:p>
          <w:p w14:paraId="0BBBBF7E" w14:textId="29D870B1" w:rsidR="00C044C7" w:rsidRPr="00C044C7" w:rsidRDefault="00C044C7" w:rsidP="00373FDA">
            <w:pPr>
              <w:rPr>
                <w:sz w:val="20"/>
                <w:szCs w:val="20"/>
              </w:rPr>
            </w:pPr>
            <w:r w:rsidRPr="00C044C7">
              <w:rPr>
                <w:noProof/>
                <w:sz w:val="20"/>
                <w:szCs w:val="20"/>
              </w:rPr>
              <w:t>FAR 52.232-40</w:t>
            </w:r>
          </w:p>
        </w:tc>
        <w:tc>
          <w:tcPr>
            <w:tcW w:w="6750" w:type="dxa"/>
          </w:tcPr>
          <w:p w14:paraId="6E7ACF4E" w14:textId="77777777" w:rsidR="00C044C7" w:rsidRPr="00C044C7" w:rsidRDefault="00C044C7" w:rsidP="00373FDA">
            <w:pPr>
              <w:rPr>
                <w:caps/>
                <w:noProof/>
                <w:sz w:val="20"/>
                <w:szCs w:val="20"/>
              </w:rPr>
            </w:pPr>
            <w:r w:rsidRPr="00C044C7">
              <w:rPr>
                <w:caps/>
                <w:noProof/>
                <w:sz w:val="20"/>
                <w:szCs w:val="20"/>
              </w:rPr>
              <w:t>prohibition on contracting for certain telecommunications and video surveillance services or equipment (aug 2020), Excluding Paragraph (</w:t>
            </w:r>
            <w:r w:rsidRPr="00C044C7">
              <w:rPr>
                <w:noProof/>
                <w:sz w:val="20"/>
                <w:szCs w:val="20"/>
              </w:rPr>
              <w:t>b</w:t>
            </w:r>
            <w:r w:rsidRPr="00C044C7">
              <w:rPr>
                <w:caps/>
                <w:noProof/>
                <w:sz w:val="20"/>
                <w:szCs w:val="20"/>
              </w:rPr>
              <w:t>)(2)</w:t>
            </w:r>
          </w:p>
          <w:p w14:paraId="3CADFE78" w14:textId="08F7F949" w:rsidR="00C044C7" w:rsidRPr="00C044C7" w:rsidRDefault="00C044C7" w:rsidP="00106DF5">
            <w:pPr>
              <w:pStyle w:val="FARDEAR"/>
              <w:keepNext/>
              <w:ind w:left="30" w:hanging="30"/>
              <w:rPr>
                <w:caps/>
                <w:noProof/>
              </w:rPr>
            </w:pPr>
            <w:r w:rsidRPr="00C044C7">
              <w:rPr>
                <w:caps/>
                <w:noProof/>
              </w:rPr>
              <w:t>providing accelerated payments to small business</w:t>
            </w:r>
            <w:r w:rsidR="00106DF5">
              <w:rPr>
                <w:caps/>
                <w:noProof/>
              </w:rPr>
              <w:t xml:space="preserve"> </w:t>
            </w:r>
            <w:r w:rsidRPr="00C044C7">
              <w:rPr>
                <w:caps/>
                <w:noProof/>
              </w:rPr>
              <w:t xml:space="preserve">Subcontractors (DEC 2013) (deviation apr 2020) </w:t>
            </w:r>
          </w:p>
        </w:tc>
      </w:tr>
    </w:tbl>
    <w:p w14:paraId="36EC6934" w14:textId="77777777" w:rsidR="00CE1AA5" w:rsidRPr="00A86FA4" w:rsidRDefault="00CE1AA5" w:rsidP="003945D3">
      <w:pPr>
        <w:keepNext/>
        <w:rPr>
          <w:noProof/>
          <w:color w:val="0000FF"/>
        </w:rPr>
      </w:pPr>
    </w:p>
    <w:p w14:paraId="08A04B1A" w14:textId="42A6F2BB" w:rsidR="00CE1AA5" w:rsidRDefault="00486207" w:rsidP="009B28BF">
      <w:pPr>
        <w:pStyle w:val="ArticleParagraph-A"/>
        <w:rPr>
          <w:color w:val="0000FF"/>
        </w:rPr>
      </w:pPr>
      <w:r>
        <w:t>F</w:t>
      </w:r>
      <w:r w:rsidR="00CE1AA5" w:rsidRPr="00B965F9">
        <w:t>.</w:t>
      </w:r>
      <w:r w:rsidR="00CE1AA5" w:rsidRPr="00E246F5">
        <w:rPr>
          <w:color w:val="0000FF"/>
        </w:rPr>
        <w:tab/>
      </w:r>
      <w:r w:rsidR="00CE1AA5" w:rsidRPr="003E2313">
        <w:t>By this reference, the clause entitled “NOTICES” of the GENERAL PROVISIONS is modified as follows</w:t>
      </w:r>
      <w:r w:rsidR="00B965F9">
        <w:t>.</w:t>
      </w:r>
    </w:p>
    <w:p w14:paraId="086DE0FE" w14:textId="77777777" w:rsidR="00CE1AA5" w:rsidRDefault="00CE1AA5" w:rsidP="009B28BF">
      <w:pPr>
        <w:pStyle w:val="ListParagraph"/>
        <w:rPr>
          <w:color w:val="0000FF"/>
        </w:rPr>
      </w:pPr>
    </w:p>
    <w:p w14:paraId="7A5D1AC1" w14:textId="77777777" w:rsidR="00CE1AA5" w:rsidRPr="00D5777F" w:rsidRDefault="00CE1AA5" w:rsidP="009B28BF">
      <w:pPr>
        <w:pStyle w:val="ListParagraph"/>
      </w:pPr>
      <w:r w:rsidRPr="007E2D5C">
        <w:t xml:space="preserve">“The </w:t>
      </w:r>
      <w:r>
        <w:t>Subcontractor</w:t>
      </w:r>
      <w:r w:rsidRPr="007E2D5C">
        <w:t xml:space="preserve"> shall immediately notify the LLNS Contract Analyst in writing of (1) any third party action, including any proceeding before an administrative agency</w:t>
      </w:r>
      <w:r>
        <w:t xml:space="preserve"> </w:t>
      </w:r>
      <w:r w:rsidRPr="003E2313">
        <w:t>or regulatory violation (i.e., federal, state, local), filed against the Subcontractor arising out of the performance of this Subcontract; (2) any third party claim against the Subcontractor, the cost a</w:t>
      </w:r>
      <w:r w:rsidRPr="007E2D5C">
        <w:t xml:space="preserve">nd expense of which may be allowable under the terms of this </w:t>
      </w:r>
      <w:r>
        <w:t>Subcontract</w:t>
      </w:r>
      <w:r w:rsidRPr="007E2D5C">
        <w:t xml:space="preserve">; (3) any proceedings related to bankruptcy the </w:t>
      </w:r>
      <w:r>
        <w:t>Subcontractor</w:t>
      </w:r>
      <w:r w:rsidRPr="007E2D5C">
        <w:t xml:space="preserve"> enters into; and (4) any circumstances whatsoever that the </w:t>
      </w:r>
      <w:r>
        <w:t>Subcontractor</w:t>
      </w:r>
      <w:r w:rsidRPr="007E2D5C">
        <w:t xml:space="preserve"> becomes aware of during the performance of the </w:t>
      </w:r>
      <w:r>
        <w:t>Subcontract</w:t>
      </w:r>
      <w:r w:rsidRPr="007E2D5C">
        <w:t xml:space="preserve"> which may jeopardize its fulfillment of the agreed performance of all or any portion of the </w:t>
      </w:r>
      <w:r>
        <w:t>Subcontract</w:t>
      </w:r>
      <w:r w:rsidRPr="007E2D5C">
        <w:t>.”</w:t>
      </w:r>
    </w:p>
    <w:p w14:paraId="60D85DF0" w14:textId="77777777" w:rsidR="00CE1AA5" w:rsidRDefault="00CE1AA5" w:rsidP="00F13A82">
      <w:pPr>
        <w:rPr>
          <w:highlight w:val="yellow"/>
        </w:rPr>
      </w:pPr>
    </w:p>
    <w:p w14:paraId="6798BBE4" w14:textId="6D4EA8E5" w:rsidR="00CE1AA5" w:rsidRPr="00E80B4B" w:rsidRDefault="00F17BE2" w:rsidP="00077B57">
      <w:pPr>
        <w:ind w:left="720" w:hanging="720"/>
      </w:pPr>
      <w:r>
        <w:t>G</w:t>
      </w:r>
      <w:r w:rsidR="00CE1AA5" w:rsidRPr="00B965F9">
        <w:t>.</w:t>
      </w:r>
      <w:r w:rsidR="00CE1AA5" w:rsidRPr="00E85A31">
        <w:rPr>
          <w:color w:val="0000FF"/>
        </w:rPr>
        <w:tab/>
      </w:r>
      <w:r w:rsidR="00CE1AA5" w:rsidRPr="00E80B4B">
        <w:t>By this reference, the clause entitled QUALITY OF ORDERED ITEMS of the GENERAL PROVISIONS is modified to add Paragraph E., as follows</w:t>
      </w:r>
      <w:r w:rsidR="00B965F9">
        <w:t>.</w:t>
      </w:r>
    </w:p>
    <w:p w14:paraId="696D15C2" w14:textId="77777777" w:rsidR="00CE1AA5" w:rsidRPr="00E80B4B" w:rsidRDefault="00CE1AA5" w:rsidP="00077B57"/>
    <w:p w14:paraId="18E89DF4" w14:textId="77777777" w:rsidR="00CE1AA5" w:rsidRPr="00E80B4B" w:rsidRDefault="00CE1AA5" w:rsidP="00077B57">
      <w:pPr>
        <w:pStyle w:val="ListParagraph"/>
        <w:ind w:left="1440" w:hanging="720"/>
      </w:pPr>
      <w:r w:rsidRPr="00E80B4B">
        <w:t>“E.</w:t>
      </w:r>
      <w:r w:rsidRPr="00E80B4B">
        <w:tab/>
        <w:t>Under its DOE Prime Contract, LLNS is required to notify its Contracting Officer and submit a report to the Government-Industry Data Exchange Program (GIDEP) of any suspect/counterfeit items or common items that have major or critical nonconformance as required by FAR 52.246-26, Reporting Nonconforming Items.”</w:t>
      </w:r>
    </w:p>
    <w:p w14:paraId="3A3F2233" w14:textId="77777777" w:rsidR="00CE1AA5" w:rsidRPr="00A935B8" w:rsidRDefault="00CE1AA5" w:rsidP="00F13A82">
      <w:pPr>
        <w:rPr>
          <w:highlight w:val="yellow"/>
        </w:rPr>
      </w:pPr>
    </w:p>
    <w:p w14:paraId="230FD333" w14:textId="77777777" w:rsidR="00CE1AA5" w:rsidRDefault="00CE1AA5" w:rsidP="00321F6B">
      <w:pPr>
        <w:keepNext/>
        <w:jc w:val="center"/>
      </w:pPr>
      <w:r w:rsidRPr="009E7E98">
        <w:t xml:space="preserve"> (END OF SCHEDULE OF ARTICLES)</w:t>
      </w:r>
    </w:p>
    <w:p w14:paraId="0AE62011" w14:textId="77777777" w:rsidR="00CE1AA5" w:rsidRDefault="00CE1AA5" w:rsidP="00C16B13">
      <w:pPr>
        <w:pStyle w:val="HiddenText"/>
        <w:keepNext w:val="0"/>
      </w:pPr>
    </w:p>
    <w:p w14:paraId="1B2A4A3A" w14:textId="30A6D27F" w:rsidR="00C16B13" w:rsidRPr="00C16B13" w:rsidRDefault="00C16B13" w:rsidP="00C16B13">
      <w:pPr>
        <w:sectPr w:rsidR="00C16B13" w:rsidRPr="00C16B13" w:rsidSect="00666EE7">
          <w:headerReference w:type="default" r:id="rId21"/>
          <w:footerReference w:type="default" r:id="rId22"/>
          <w:pgSz w:w="12240" w:h="15840"/>
          <w:pgMar w:top="1080" w:right="1080" w:bottom="1080" w:left="1080" w:header="720" w:footer="720" w:gutter="0"/>
          <w:cols w:space="720"/>
          <w:titlePg/>
          <w:docGrid w:linePitch="360"/>
        </w:sectPr>
      </w:pPr>
    </w:p>
    <w:p w14:paraId="406E4772" w14:textId="77777777" w:rsidR="00CE1AA5" w:rsidRDefault="00CE1AA5" w:rsidP="00F13A82"/>
    <w:sectPr w:rsidR="00CE1AA5" w:rsidSect="00CE1AA5">
      <w:footerReference w:type="default" r:id="rId23"/>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817CA" w14:textId="77777777" w:rsidR="007766BC" w:rsidRDefault="007766BC" w:rsidP="00CD2082">
      <w:r>
        <w:separator/>
      </w:r>
    </w:p>
  </w:endnote>
  <w:endnote w:type="continuationSeparator" w:id="0">
    <w:p w14:paraId="45B764B2" w14:textId="77777777" w:rsidR="007766BC" w:rsidRDefault="007766BC" w:rsidP="00CD2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32905" w14:textId="77777777" w:rsidR="00CE1AA5" w:rsidRDefault="00CE1AA5">
    <w:pPr>
      <w:pStyle w:val="Footer"/>
      <w:rPr>
        <w:sz w:val="20"/>
        <w:szCs w:val="20"/>
      </w:rPr>
    </w:pPr>
  </w:p>
  <w:p w14:paraId="53398E3D" w14:textId="77777777" w:rsidR="00CE1AA5" w:rsidRPr="00F93392" w:rsidRDefault="00CE1AA5" w:rsidP="001542C7">
    <w:pPr>
      <w:pStyle w:val="Footer"/>
      <w:tabs>
        <w:tab w:val="clear" w:pos="4680"/>
        <w:tab w:val="clear" w:pos="9360"/>
        <w:tab w:val="center" w:pos="5040"/>
        <w:tab w:val="right" w:pos="10080"/>
      </w:tabs>
      <w:rPr>
        <w:color w:val="000000" w:themeColor="text1"/>
        <w:sz w:val="20"/>
        <w:szCs w:val="20"/>
      </w:rPr>
    </w:pPr>
    <w:r>
      <w:rPr>
        <w:sz w:val="20"/>
        <w:szCs w:val="20"/>
      </w:rPr>
      <w:t>Signature Page</w:t>
    </w:r>
    <w:r>
      <w:rPr>
        <w:color w:val="FF0000"/>
        <w:sz w:val="20"/>
      </w:rPr>
      <w:tab/>
    </w:r>
    <w:r w:rsidRPr="001542C7">
      <w:rPr>
        <w:color w:val="000000" w:themeColor="text1"/>
        <w:sz w:val="20"/>
      </w:rPr>
      <w:t xml:space="preserve">Page </w:t>
    </w:r>
    <w:r w:rsidRPr="001542C7">
      <w:rPr>
        <w:color w:val="000000" w:themeColor="text1"/>
        <w:sz w:val="20"/>
      </w:rPr>
      <w:fldChar w:fldCharType="begin"/>
    </w:r>
    <w:r w:rsidRPr="001542C7">
      <w:rPr>
        <w:color w:val="000000" w:themeColor="text1"/>
        <w:sz w:val="20"/>
      </w:rPr>
      <w:instrText xml:space="preserve"> PAGE  \* Arabic  \* MERGEFORMAT </w:instrText>
    </w:r>
    <w:r w:rsidRPr="001542C7">
      <w:rPr>
        <w:color w:val="000000" w:themeColor="text1"/>
        <w:sz w:val="20"/>
      </w:rPr>
      <w:fldChar w:fldCharType="separate"/>
    </w:r>
    <w:r>
      <w:rPr>
        <w:noProof/>
        <w:color w:val="000000" w:themeColor="text1"/>
        <w:sz w:val="20"/>
      </w:rPr>
      <w:t>2</w:t>
    </w:r>
    <w:r w:rsidRPr="001542C7">
      <w:rPr>
        <w:color w:val="000000" w:themeColor="text1"/>
        <w:sz w:val="20"/>
      </w:rPr>
      <w:fldChar w:fldCharType="end"/>
    </w:r>
    <w:r w:rsidRPr="001542C7">
      <w:rPr>
        <w:color w:val="000000" w:themeColor="text1"/>
        <w:sz w:val="20"/>
      </w:rPr>
      <w:t xml:space="preserve"> of </w:t>
    </w:r>
    <w:r w:rsidRPr="001542C7">
      <w:rPr>
        <w:color w:val="000000" w:themeColor="text1"/>
        <w:sz w:val="20"/>
      </w:rPr>
      <w:fldChar w:fldCharType="begin"/>
    </w:r>
    <w:r w:rsidRPr="001542C7">
      <w:rPr>
        <w:color w:val="000000" w:themeColor="text1"/>
        <w:sz w:val="20"/>
      </w:rPr>
      <w:instrText xml:space="preserve"> NUMPAGES  \* Arabic  \* MERGEFORMAT </w:instrText>
    </w:r>
    <w:r w:rsidRPr="001542C7">
      <w:rPr>
        <w:color w:val="000000" w:themeColor="text1"/>
        <w:sz w:val="20"/>
      </w:rPr>
      <w:fldChar w:fldCharType="separate"/>
    </w:r>
    <w:r>
      <w:rPr>
        <w:noProof/>
        <w:color w:val="000000" w:themeColor="text1"/>
        <w:sz w:val="20"/>
      </w:rPr>
      <w:t>11</w:t>
    </w:r>
    <w:r w:rsidRPr="001542C7">
      <w:rPr>
        <w:color w:val="000000" w:themeColor="text1"/>
        <w:sz w:val="20"/>
      </w:rPr>
      <w:fldChar w:fldCharType="end"/>
    </w:r>
    <w:r>
      <w:rPr>
        <w:color w:val="FF0000"/>
        <w:sz w:val="20"/>
      </w:rPr>
      <w:tab/>
    </w:r>
    <w:r>
      <w:rPr>
        <w:rFonts w:cs="Times New Roman"/>
        <w:color w:val="000000" w:themeColor="text1"/>
        <w:sz w:val="20"/>
        <w:szCs w:val="20"/>
      </w:rPr>
      <w:t>(DM-711; 06/25/2021)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0D5E9" w14:textId="77777777" w:rsidR="00CE1AA5" w:rsidRDefault="00CE1AA5">
    <w:pPr>
      <w:pStyle w:val="Footer"/>
      <w:rPr>
        <w:sz w:val="20"/>
        <w:szCs w:val="20"/>
      </w:rPr>
    </w:pPr>
  </w:p>
  <w:p w14:paraId="7B9B15E6" w14:textId="77777777" w:rsidR="00CE1AA5" w:rsidRPr="00F93392" w:rsidRDefault="00CE1AA5" w:rsidP="00D877E2">
    <w:pPr>
      <w:pStyle w:val="Footer"/>
      <w:tabs>
        <w:tab w:val="clear" w:pos="9360"/>
        <w:tab w:val="right" w:pos="10080"/>
      </w:tabs>
      <w:rPr>
        <w:sz w:val="20"/>
      </w:rPr>
    </w:pPr>
    <w:r>
      <w:rPr>
        <w:sz w:val="20"/>
      </w:rPr>
      <w:t>Signature Page</w:t>
    </w:r>
    <w:r>
      <w:rPr>
        <w:sz w:val="20"/>
      </w:rPr>
      <w:tab/>
    </w:r>
    <w:r>
      <w:rPr>
        <w:sz w:val="20"/>
      </w:rPr>
      <w:tab/>
      <w:t>(DM-815; xx/xx/xx)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1F659" w14:textId="77777777" w:rsidR="00CE1AA5" w:rsidRDefault="00CE1AA5" w:rsidP="002C4631">
    <w:pPr>
      <w:pStyle w:val="Footer"/>
      <w:tabs>
        <w:tab w:val="clear" w:pos="4680"/>
        <w:tab w:val="center" w:pos="4320"/>
      </w:tabs>
      <w:rPr>
        <w:sz w:val="20"/>
        <w:szCs w:val="20"/>
      </w:rPr>
    </w:pPr>
    <w:r>
      <w:rPr>
        <w:sz w:val="20"/>
        <w:szCs w:val="20"/>
      </w:rPr>
      <w:t>Schedule of Articles</w:t>
    </w:r>
  </w:p>
  <w:p w14:paraId="3B248927" w14:textId="77777777" w:rsidR="00CE1AA5" w:rsidRPr="00F93392" w:rsidRDefault="00CE1AA5" w:rsidP="002C4631">
    <w:pPr>
      <w:pStyle w:val="Footer"/>
      <w:tabs>
        <w:tab w:val="clear" w:pos="4680"/>
        <w:tab w:val="clear" w:pos="9360"/>
        <w:tab w:val="center" w:pos="5040"/>
        <w:tab w:val="right" w:pos="10080"/>
      </w:tabs>
      <w:rPr>
        <w:color w:val="000000" w:themeColor="text1"/>
        <w:sz w:val="20"/>
        <w:szCs w:val="20"/>
      </w:rPr>
    </w:pPr>
    <w:r w:rsidRPr="00FC4A79">
      <w:rPr>
        <w:rFonts w:cs="Times New Roman"/>
        <w:sz w:val="20"/>
        <w:szCs w:val="20"/>
      </w:rPr>
      <w:t xml:space="preserve">Subcontract No. </w:t>
    </w:r>
    <w:r w:rsidRPr="00F93704">
      <w:rPr>
        <w:rFonts w:cs="Times New Roman"/>
        <w:sz w:val="20"/>
        <w:szCs w:val="20"/>
      </w:rPr>
      <w:t>B644990</w:t>
    </w:r>
    <w:r>
      <w:rPr>
        <w:rFonts w:cs="Times New Roman"/>
        <w:sz w:val="20"/>
        <w:szCs w:val="20"/>
      </w:rPr>
      <w:tab/>
    </w:r>
    <w:r w:rsidRPr="002C4631">
      <w:rPr>
        <w:rFonts w:cs="Times New Roman"/>
        <w:sz w:val="20"/>
        <w:szCs w:val="20"/>
      </w:rPr>
      <w:t xml:space="preserve">Page </w:t>
    </w:r>
    <w:r w:rsidRPr="002C4631">
      <w:rPr>
        <w:rFonts w:cs="Times New Roman"/>
        <w:sz w:val="20"/>
        <w:szCs w:val="20"/>
      </w:rPr>
      <w:fldChar w:fldCharType="begin"/>
    </w:r>
    <w:r w:rsidRPr="002C4631">
      <w:rPr>
        <w:rFonts w:cs="Times New Roman"/>
        <w:sz w:val="20"/>
        <w:szCs w:val="20"/>
      </w:rPr>
      <w:instrText xml:space="preserve"> PAGE  \* Arabic  \* MERGEFORMAT </w:instrText>
    </w:r>
    <w:r w:rsidRPr="002C4631">
      <w:rPr>
        <w:rFonts w:cs="Times New Roman"/>
        <w:sz w:val="20"/>
        <w:szCs w:val="20"/>
      </w:rPr>
      <w:fldChar w:fldCharType="separate"/>
    </w:r>
    <w:r>
      <w:rPr>
        <w:rFonts w:cs="Times New Roman"/>
        <w:noProof/>
        <w:sz w:val="20"/>
        <w:szCs w:val="20"/>
      </w:rPr>
      <w:t>36</w:t>
    </w:r>
    <w:r w:rsidRPr="002C4631">
      <w:rPr>
        <w:rFonts w:cs="Times New Roman"/>
        <w:sz w:val="20"/>
        <w:szCs w:val="20"/>
      </w:rPr>
      <w:fldChar w:fldCharType="end"/>
    </w:r>
    <w:r w:rsidRPr="002C4631">
      <w:rPr>
        <w:rFonts w:cs="Times New Roman"/>
        <w:sz w:val="20"/>
        <w:szCs w:val="20"/>
      </w:rPr>
      <w:t xml:space="preserve"> of </w:t>
    </w:r>
    <w:r w:rsidRPr="002C4631">
      <w:rPr>
        <w:rFonts w:cs="Times New Roman"/>
        <w:sz w:val="20"/>
        <w:szCs w:val="20"/>
      </w:rPr>
      <w:fldChar w:fldCharType="begin"/>
    </w:r>
    <w:r w:rsidRPr="002C4631">
      <w:rPr>
        <w:rFonts w:cs="Times New Roman"/>
        <w:sz w:val="20"/>
        <w:szCs w:val="20"/>
      </w:rPr>
      <w:instrText xml:space="preserve"> NUMPAGES  \* Arabic  \* MERGEFORMAT </w:instrText>
    </w:r>
    <w:r w:rsidRPr="002C4631">
      <w:rPr>
        <w:rFonts w:cs="Times New Roman"/>
        <w:sz w:val="20"/>
        <w:szCs w:val="20"/>
      </w:rPr>
      <w:fldChar w:fldCharType="separate"/>
    </w:r>
    <w:r>
      <w:rPr>
        <w:rFonts w:cs="Times New Roman"/>
        <w:noProof/>
        <w:sz w:val="20"/>
        <w:szCs w:val="20"/>
      </w:rPr>
      <w:t>36</w:t>
    </w:r>
    <w:r w:rsidRPr="002C4631">
      <w:rPr>
        <w:rFonts w:cs="Times New Roman"/>
        <w:sz w:val="20"/>
        <w:szCs w:val="20"/>
      </w:rPr>
      <w:fldChar w:fldCharType="end"/>
    </w:r>
    <w:r>
      <w:rPr>
        <w:color w:val="FF0000"/>
        <w:sz w:val="20"/>
      </w:rPr>
      <w:tab/>
    </w:r>
    <w:r>
      <w:rPr>
        <w:rFonts w:cs="Times New Roman"/>
        <w:color w:val="000000" w:themeColor="text1"/>
        <w:sz w:val="20"/>
        <w:szCs w:val="20"/>
      </w:rPr>
      <w:t>(DM-711; 06/25/2021)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F2BF" w14:textId="77777777" w:rsidR="007374A9" w:rsidRDefault="007374A9" w:rsidP="002C4631">
    <w:pPr>
      <w:pStyle w:val="Footer"/>
      <w:tabs>
        <w:tab w:val="clear" w:pos="4680"/>
        <w:tab w:val="center" w:pos="4320"/>
      </w:tabs>
      <w:rPr>
        <w:sz w:val="20"/>
        <w:szCs w:val="20"/>
      </w:rPr>
    </w:pPr>
    <w:r>
      <w:rPr>
        <w:sz w:val="20"/>
        <w:szCs w:val="20"/>
      </w:rPr>
      <w:t>Schedule of Articles</w:t>
    </w:r>
  </w:p>
  <w:p w14:paraId="6E4164DF" w14:textId="77777777" w:rsidR="007374A9" w:rsidRPr="00F93392" w:rsidRDefault="007374A9" w:rsidP="002C4631">
    <w:pPr>
      <w:pStyle w:val="Footer"/>
      <w:tabs>
        <w:tab w:val="clear" w:pos="4680"/>
        <w:tab w:val="clear" w:pos="9360"/>
        <w:tab w:val="center" w:pos="5040"/>
        <w:tab w:val="right" w:pos="10080"/>
      </w:tabs>
      <w:rPr>
        <w:color w:val="000000" w:themeColor="text1"/>
        <w:sz w:val="20"/>
        <w:szCs w:val="20"/>
      </w:rPr>
    </w:pPr>
    <w:r w:rsidRPr="00FC4A79">
      <w:rPr>
        <w:rFonts w:cs="Times New Roman"/>
        <w:sz w:val="20"/>
        <w:szCs w:val="20"/>
      </w:rPr>
      <w:t xml:space="preserve">Subcontract No. </w:t>
    </w:r>
    <w:r w:rsidR="00F93704">
      <w:rPr>
        <w:rFonts w:cs="Times New Roman"/>
        <w:b/>
        <w:bCs/>
        <w:sz w:val="20"/>
        <w:szCs w:val="20"/>
      </w:rPr>
      <w:t>Error! Reference source not found.</w:t>
    </w:r>
    <w:r>
      <w:rPr>
        <w:rFonts w:cs="Times New Roman"/>
        <w:sz w:val="20"/>
        <w:szCs w:val="20"/>
      </w:rPr>
      <w:tab/>
    </w:r>
    <w:r w:rsidRPr="002C4631">
      <w:rPr>
        <w:rFonts w:cs="Times New Roman"/>
        <w:sz w:val="20"/>
        <w:szCs w:val="20"/>
      </w:rPr>
      <w:t xml:space="preserve">Page </w:t>
    </w:r>
    <w:r w:rsidRPr="002C4631">
      <w:rPr>
        <w:rFonts w:cs="Times New Roman"/>
        <w:sz w:val="20"/>
        <w:szCs w:val="20"/>
      </w:rPr>
      <w:fldChar w:fldCharType="begin"/>
    </w:r>
    <w:r w:rsidRPr="002C4631">
      <w:rPr>
        <w:rFonts w:cs="Times New Roman"/>
        <w:sz w:val="20"/>
        <w:szCs w:val="20"/>
      </w:rPr>
      <w:instrText xml:space="preserve"> PAGE  \* Arabic  \* MERGEFORMAT </w:instrText>
    </w:r>
    <w:r w:rsidRPr="002C4631">
      <w:rPr>
        <w:rFonts w:cs="Times New Roman"/>
        <w:sz w:val="20"/>
        <w:szCs w:val="20"/>
      </w:rPr>
      <w:fldChar w:fldCharType="separate"/>
    </w:r>
    <w:r>
      <w:rPr>
        <w:rFonts w:cs="Times New Roman"/>
        <w:noProof/>
        <w:sz w:val="20"/>
        <w:szCs w:val="20"/>
      </w:rPr>
      <w:t>36</w:t>
    </w:r>
    <w:r w:rsidRPr="002C4631">
      <w:rPr>
        <w:rFonts w:cs="Times New Roman"/>
        <w:sz w:val="20"/>
        <w:szCs w:val="20"/>
      </w:rPr>
      <w:fldChar w:fldCharType="end"/>
    </w:r>
    <w:r w:rsidRPr="002C4631">
      <w:rPr>
        <w:rFonts w:cs="Times New Roman"/>
        <w:sz w:val="20"/>
        <w:szCs w:val="20"/>
      </w:rPr>
      <w:t xml:space="preserve"> of </w:t>
    </w:r>
    <w:r w:rsidRPr="002C4631">
      <w:rPr>
        <w:rFonts w:cs="Times New Roman"/>
        <w:sz w:val="20"/>
        <w:szCs w:val="20"/>
      </w:rPr>
      <w:fldChar w:fldCharType="begin"/>
    </w:r>
    <w:r w:rsidRPr="002C4631">
      <w:rPr>
        <w:rFonts w:cs="Times New Roman"/>
        <w:sz w:val="20"/>
        <w:szCs w:val="20"/>
      </w:rPr>
      <w:instrText xml:space="preserve"> NUMPAGES  \* Arabic  \* MERGEFORMAT </w:instrText>
    </w:r>
    <w:r w:rsidRPr="002C4631">
      <w:rPr>
        <w:rFonts w:cs="Times New Roman"/>
        <w:sz w:val="20"/>
        <w:szCs w:val="20"/>
      </w:rPr>
      <w:fldChar w:fldCharType="separate"/>
    </w:r>
    <w:r>
      <w:rPr>
        <w:rFonts w:cs="Times New Roman"/>
        <w:noProof/>
        <w:sz w:val="20"/>
        <w:szCs w:val="20"/>
      </w:rPr>
      <w:t>36</w:t>
    </w:r>
    <w:r w:rsidRPr="002C4631">
      <w:rPr>
        <w:rFonts w:cs="Times New Roman"/>
        <w:sz w:val="20"/>
        <w:szCs w:val="20"/>
      </w:rPr>
      <w:fldChar w:fldCharType="end"/>
    </w:r>
    <w:r>
      <w:rPr>
        <w:color w:val="FF0000"/>
        <w:sz w:val="20"/>
      </w:rPr>
      <w:tab/>
    </w:r>
    <w:r>
      <w:rPr>
        <w:rFonts w:cs="Times New Roman"/>
        <w:color w:val="000000" w:themeColor="text1"/>
        <w:sz w:val="20"/>
        <w:szCs w:val="20"/>
      </w:rPr>
      <w:t xml:space="preserve">(DM-711; </w:t>
    </w:r>
    <w:r w:rsidR="00E80B4B">
      <w:rPr>
        <w:rFonts w:cs="Times New Roman"/>
        <w:color w:val="000000" w:themeColor="text1"/>
        <w:sz w:val="20"/>
        <w:szCs w:val="20"/>
      </w:rPr>
      <w:t>06</w:t>
    </w:r>
    <w:r>
      <w:rPr>
        <w:rFonts w:cs="Times New Roman"/>
        <w:color w:val="000000" w:themeColor="text1"/>
        <w:sz w:val="20"/>
        <w:szCs w:val="20"/>
      </w:rPr>
      <w:t>/</w:t>
    </w:r>
    <w:r w:rsidR="00E80B4B">
      <w:rPr>
        <w:rFonts w:cs="Times New Roman"/>
        <w:color w:val="000000" w:themeColor="text1"/>
        <w:sz w:val="20"/>
        <w:szCs w:val="20"/>
      </w:rPr>
      <w:t>25</w:t>
    </w:r>
    <w:r>
      <w:rPr>
        <w:rFonts w:cs="Times New Roman"/>
        <w:color w:val="000000" w:themeColor="text1"/>
        <w:sz w:val="20"/>
        <w:szCs w:val="20"/>
      </w:rPr>
      <w:t>/</w:t>
    </w:r>
    <w:r w:rsidR="00CA4DB2">
      <w:rPr>
        <w:rFonts w:cs="Times New Roman"/>
        <w:color w:val="000000" w:themeColor="text1"/>
        <w:sz w:val="20"/>
        <w:szCs w:val="20"/>
      </w:rPr>
      <w:t>20</w:t>
    </w:r>
    <w:r>
      <w:rPr>
        <w:rFonts w:cs="Times New Roman"/>
        <w:color w:val="000000" w:themeColor="text1"/>
        <w:sz w:val="20"/>
        <w:szCs w:val="20"/>
      </w:rPr>
      <w:t>2</w:t>
    </w:r>
    <w:r w:rsidR="00E80B4B">
      <w:rPr>
        <w:rFonts w:cs="Times New Roman"/>
        <w:color w:val="000000" w:themeColor="text1"/>
        <w:sz w:val="20"/>
        <w:szCs w:val="20"/>
      </w:rPr>
      <w:t>1</w:t>
    </w:r>
    <w:r>
      <w:rPr>
        <w:rFonts w:cs="Times New Roman"/>
        <w:color w:val="000000" w:themeColor="text1"/>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832FA" w14:textId="77777777" w:rsidR="007766BC" w:rsidRDefault="007766BC" w:rsidP="00CD2082">
      <w:r>
        <w:separator/>
      </w:r>
    </w:p>
  </w:footnote>
  <w:footnote w:type="continuationSeparator" w:id="0">
    <w:p w14:paraId="0EE2F136" w14:textId="77777777" w:rsidR="007766BC" w:rsidRDefault="007766BC" w:rsidP="00CD2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97964" w14:textId="77777777" w:rsidR="00CE1AA5" w:rsidRPr="00A21293" w:rsidRDefault="00CE1AA5" w:rsidP="00D877E2">
    <w:pPr>
      <w:pStyle w:val="Header"/>
      <w:jc w:val="center"/>
      <w:rPr>
        <w:rFonts w:asciiTheme="minorHAnsi" w:hAnsiTheme="minorHAnsi" w:cstheme="minorHAnsi"/>
        <w:b/>
        <w:noProof/>
        <w:sz w:val="20"/>
      </w:rPr>
    </w:pPr>
    <w:r w:rsidRPr="00A21293">
      <w:rPr>
        <w:rFonts w:asciiTheme="minorHAnsi" w:hAnsiTheme="minorHAnsi" w:cstheme="minorHAnsi"/>
        <w:b/>
        <w:noProof/>
        <w:sz w:val="20"/>
        <w:highlight w:val="yellow"/>
      </w:rPr>
      <w:t>SAMPLE</w:t>
    </w:r>
  </w:p>
  <w:p w14:paraId="11A4A9D2" w14:textId="51331C51" w:rsidR="00D37464" w:rsidRPr="00A21293" w:rsidRDefault="00D37464" w:rsidP="00D37464">
    <w:pPr>
      <w:pStyle w:val="Header"/>
      <w:rPr>
        <w:rFonts w:asciiTheme="minorHAnsi" w:hAnsiTheme="minorHAnsi" w:cstheme="minorHAnsi"/>
        <w:bCs/>
        <w:noProof/>
        <w:sz w:val="20"/>
      </w:rPr>
    </w:pPr>
    <w:r w:rsidRPr="00A21293">
      <w:rPr>
        <w:rFonts w:asciiTheme="minorHAnsi" w:hAnsiTheme="minorHAnsi" w:cstheme="minorHAnsi"/>
        <w:b/>
        <w:noProof/>
        <w:sz w:val="20"/>
        <w:highlight w:val="cyan"/>
      </w:rPr>
      <w:t>NOTE:</w:t>
    </w:r>
    <w:r w:rsidRPr="00A21293">
      <w:rPr>
        <w:rFonts w:asciiTheme="minorHAnsi" w:hAnsiTheme="minorHAnsi" w:cstheme="minorHAnsi"/>
        <w:bCs/>
        <w:noProof/>
        <w:sz w:val="20"/>
        <w:highlight w:val="cyan"/>
      </w:rPr>
      <w:t xml:space="preserve"> This sample subcontract allows potential NG-HPCN R&amp;D offerors to review / consider: (i) NG-HPCN R&amp;D acquisition terms </w:t>
    </w:r>
    <w:r w:rsidR="00C45F71" w:rsidRPr="00A21293">
      <w:rPr>
        <w:rFonts w:asciiTheme="minorHAnsi" w:hAnsiTheme="minorHAnsi" w:cstheme="minorHAnsi"/>
        <w:bCs/>
        <w:noProof/>
        <w:sz w:val="20"/>
        <w:highlight w:val="cyan"/>
      </w:rPr>
      <w:t>and</w:t>
    </w:r>
    <w:r w:rsidRPr="00A21293">
      <w:rPr>
        <w:rFonts w:asciiTheme="minorHAnsi" w:hAnsiTheme="minorHAnsi" w:cstheme="minorHAnsi"/>
        <w:bCs/>
        <w:noProof/>
        <w:sz w:val="20"/>
        <w:highlight w:val="cyan"/>
      </w:rPr>
      <w:t xml:space="preserve"> conditions; (ii) the NG-HPCN R&amp;D subcontract framework / structure; and (iii) distin</w:t>
    </w:r>
    <w:r w:rsidR="00E861DB" w:rsidRPr="00A21293">
      <w:rPr>
        <w:rFonts w:asciiTheme="minorHAnsi" w:hAnsiTheme="minorHAnsi" w:cstheme="minorHAnsi"/>
        <w:bCs/>
        <w:noProof/>
        <w:sz w:val="20"/>
        <w:highlight w:val="cyan"/>
      </w:rPr>
      <w:t>ction</w:t>
    </w:r>
    <w:r w:rsidRPr="00A21293">
      <w:rPr>
        <w:rFonts w:asciiTheme="minorHAnsi" w:hAnsiTheme="minorHAnsi" w:cstheme="minorHAnsi"/>
        <w:bCs/>
        <w:noProof/>
        <w:sz w:val="20"/>
        <w:highlight w:val="cyan"/>
      </w:rPr>
      <w:t xml:space="preserve"> between an initial baseline award and options.  Below this sample subcontract includes ‘NOTE’ instructional text highlighted in blue to inform potential </w:t>
    </w:r>
    <w:r w:rsidR="00E861DB" w:rsidRPr="00A21293">
      <w:rPr>
        <w:rFonts w:asciiTheme="minorHAnsi" w:hAnsiTheme="minorHAnsi" w:cstheme="minorHAnsi"/>
        <w:bCs/>
        <w:noProof/>
        <w:sz w:val="20"/>
        <w:highlight w:val="cyan"/>
      </w:rPr>
      <w:t xml:space="preserve">NG-HPCN R&amp;D </w:t>
    </w:r>
    <w:r w:rsidRPr="00A21293">
      <w:rPr>
        <w:rFonts w:asciiTheme="minorHAnsi" w:hAnsiTheme="minorHAnsi" w:cstheme="minorHAnsi"/>
        <w:bCs/>
        <w:noProof/>
        <w:sz w:val="20"/>
        <w:highlight w:val="cyan"/>
      </w:rPr>
      <w:t>offerors of certain key points of consideration.</w:t>
    </w:r>
  </w:p>
  <w:p w14:paraId="02B2DB5B" w14:textId="77777777" w:rsidR="00CE1AA5" w:rsidRDefault="00CE1AA5" w:rsidP="00D877E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BEFEA" w14:textId="77777777" w:rsidR="00CE1AA5" w:rsidRPr="00D23667" w:rsidRDefault="00CE1AA5" w:rsidP="00D877E2">
    <w:pPr>
      <w:pStyle w:val="Header"/>
      <w:jc w:val="center"/>
      <w:rPr>
        <w:rFonts w:asciiTheme="minorHAnsi" w:hAnsiTheme="minorHAnsi" w:cstheme="minorHAnsi"/>
        <w:b/>
        <w:sz w:val="20"/>
      </w:rPr>
    </w:pPr>
    <w:r w:rsidRPr="00D23667">
      <w:rPr>
        <w:rFonts w:asciiTheme="minorHAnsi" w:hAnsiTheme="minorHAnsi" w:cstheme="minorHAnsi"/>
        <w:b/>
        <w:sz w:val="20"/>
        <w:highlight w:val="yellow"/>
      </w:rPr>
      <w:t>SAMPLE</w:t>
    </w:r>
  </w:p>
  <w:p w14:paraId="41FF88F3" w14:textId="77777777" w:rsidR="00CE1AA5" w:rsidRDefault="00CE1AA5" w:rsidP="00D877E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B135" w14:textId="77777777" w:rsidR="00666EE7" w:rsidRPr="00945156" w:rsidRDefault="00666EE7" w:rsidP="00D877E2">
    <w:pPr>
      <w:pStyle w:val="Header"/>
      <w:jc w:val="center"/>
      <w:rPr>
        <w:rFonts w:asciiTheme="minorHAnsi" w:hAnsiTheme="minorHAnsi" w:cstheme="minorHAnsi"/>
        <w:b/>
        <w:noProof/>
        <w:sz w:val="20"/>
      </w:rPr>
    </w:pPr>
    <w:r w:rsidRPr="00945156">
      <w:rPr>
        <w:rFonts w:asciiTheme="minorHAnsi" w:hAnsiTheme="minorHAnsi" w:cstheme="minorHAnsi"/>
        <w:b/>
        <w:noProof/>
        <w:sz w:val="20"/>
        <w:highlight w:val="yellow"/>
      </w:rPr>
      <w:t>SAMPLE</w:t>
    </w:r>
  </w:p>
  <w:p w14:paraId="75027333" w14:textId="77777777" w:rsidR="00666EE7" w:rsidRDefault="00666EE7" w:rsidP="00D877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387F"/>
    <w:multiLevelType w:val="hybridMultilevel"/>
    <w:tmpl w:val="D0C4A502"/>
    <w:lvl w:ilvl="0" w:tplc="217A8A1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86842"/>
    <w:multiLevelType w:val="hybridMultilevel"/>
    <w:tmpl w:val="62362CDC"/>
    <w:lvl w:ilvl="0" w:tplc="04090001">
      <w:start w:val="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C3E29"/>
    <w:multiLevelType w:val="hybridMultilevel"/>
    <w:tmpl w:val="5052C62A"/>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34266364"/>
    <w:multiLevelType w:val="hybridMultilevel"/>
    <w:tmpl w:val="CA4E98DA"/>
    <w:lvl w:ilvl="0" w:tplc="80CCB0E6">
      <w:start w:val="1"/>
      <w:numFmt w:val="bullet"/>
      <w:pStyle w:val="ArticleParagraph-A1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1">
    <w:nsid w:val="3494453B"/>
    <w:multiLevelType w:val="multilevel"/>
    <w:tmpl w:val="A8345AC8"/>
    <w:lvl w:ilvl="0">
      <w:start w:val="1"/>
      <w:numFmt w:val="decimal"/>
      <w:pStyle w:val="ArticleHeader"/>
      <w:suff w:val="space"/>
      <w:lvlText w:val="Article %1 -"/>
      <w:lvlJc w:val="left"/>
      <w:pPr>
        <w:ind w:left="360" w:hanging="360"/>
      </w:pPr>
      <w:rPr>
        <w:rFonts w:hint="default"/>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1">
    <w:nsid w:val="424C2B63"/>
    <w:multiLevelType w:val="multilevel"/>
    <w:tmpl w:val="F60A8A5E"/>
    <w:lvl w:ilvl="0">
      <w:start w:val="1"/>
      <w:numFmt w:val="decimal"/>
      <w:suff w:val="space"/>
      <w:lvlText w:val="Article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50C1A79"/>
    <w:multiLevelType w:val="hybridMultilevel"/>
    <w:tmpl w:val="8E746C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1">
    <w:nsid w:val="49562F51"/>
    <w:multiLevelType w:val="multilevel"/>
    <w:tmpl w:val="DBC6B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960E14"/>
    <w:multiLevelType w:val="hybridMultilevel"/>
    <w:tmpl w:val="51CEB59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1">
    <w:nsid w:val="581C7779"/>
    <w:multiLevelType w:val="multilevel"/>
    <w:tmpl w:val="F0FA5358"/>
    <w:lvl w:ilvl="0">
      <w:start w:val="1"/>
      <w:numFmt w:val="decimal"/>
      <w:lvlRestart w:val="0"/>
      <w:suff w:val="space"/>
      <w:lvlText w:val="Article %1 -"/>
      <w:lvlJc w:val="left"/>
      <w:pPr>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1">
    <w:nsid w:val="5FA502BD"/>
    <w:multiLevelType w:val="hybridMultilevel"/>
    <w:tmpl w:val="D3702224"/>
    <w:lvl w:ilvl="0" w:tplc="223E2218">
      <w:start w:val="1"/>
      <w:numFmt w:val="bullet"/>
      <w:pStyle w:val="ArticleParagraph-A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1">
    <w:nsid w:val="7A641839"/>
    <w:multiLevelType w:val="singleLevel"/>
    <w:tmpl w:val="20FE3CD2"/>
    <w:lvl w:ilvl="0">
      <w:start w:val="1"/>
      <w:numFmt w:val="decimal"/>
      <w:lvlText w:val="%1."/>
      <w:lvlJc w:val="left"/>
      <w:pPr>
        <w:tabs>
          <w:tab w:val="num" w:pos="360"/>
        </w:tabs>
        <w:ind w:left="360" w:hanging="360"/>
      </w:pPr>
    </w:lvl>
  </w:abstractNum>
  <w:num w:numId="1">
    <w:abstractNumId w:val="9"/>
  </w:num>
  <w:num w:numId="2">
    <w:abstractNumId w:val="5"/>
  </w:num>
  <w:num w:numId="3">
    <w:abstractNumId w:val="11"/>
    <w:lvlOverride w:ilvl="0">
      <w:startOverride w:val="1"/>
    </w:lvlOverride>
  </w:num>
  <w:num w:numId="4">
    <w:abstractNumId w:val="4"/>
  </w:num>
  <w:num w:numId="5">
    <w:abstractNumId w:val="3"/>
  </w:num>
  <w:num w:numId="6">
    <w:abstractNumId w:val="10"/>
  </w:num>
  <w:num w:numId="7">
    <w:abstractNumId w:val="7"/>
  </w:num>
  <w:num w:numId="8">
    <w:abstractNumId w:val="0"/>
  </w:num>
  <w:num w:numId="9">
    <w:abstractNumId w:val="1"/>
  </w:num>
  <w:num w:numId="10">
    <w:abstractNumId w:val="6"/>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A82"/>
    <w:rsid w:val="000025AC"/>
    <w:rsid w:val="0000341E"/>
    <w:rsid w:val="00003E18"/>
    <w:rsid w:val="00004DE6"/>
    <w:rsid w:val="00006BD4"/>
    <w:rsid w:val="00011BEC"/>
    <w:rsid w:val="0001460D"/>
    <w:rsid w:val="0002054D"/>
    <w:rsid w:val="000226FD"/>
    <w:rsid w:val="00022883"/>
    <w:rsid w:val="00025913"/>
    <w:rsid w:val="000261CB"/>
    <w:rsid w:val="0003365D"/>
    <w:rsid w:val="0003656E"/>
    <w:rsid w:val="00042060"/>
    <w:rsid w:val="000439F8"/>
    <w:rsid w:val="00044E1D"/>
    <w:rsid w:val="000467E5"/>
    <w:rsid w:val="0004697A"/>
    <w:rsid w:val="00047431"/>
    <w:rsid w:val="000477F3"/>
    <w:rsid w:val="0004795A"/>
    <w:rsid w:val="0005228E"/>
    <w:rsid w:val="00054049"/>
    <w:rsid w:val="00056BD8"/>
    <w:rsid w:val="00056EEE"/>
    <w:rsid w:val="00057102"/>
    <w:rsid w:val="00057B5A"/>
    <w:rsid w:val="00057CCE"/>
    <w:rsid w:val="00061466"/>
    <w:rsid w:val="00065A29"/>
    <w:rsid w:val="00072164"/>
    <w:rsid w:val="000779BE"/>
    <w:rsid w:val="00077B57"/>
    <w:rsid w:val="000853CC"/>
    <w:rsid w:val="000854C7"/>
    <w:rsid w:val="00086BA1"/>
    <w:rsid w:val="0008729C"/>
    <w:rsid w:val="0008790C"/>
    <w:rsid w:val="0009077A"/>
    <w:rsid w:val="00093D09"/>
    <w:rsid w:val="000943BB"/>
    <w:rsid w:val="000A39EC"/>
    <w:rsid w:val="000A67EE"/>
    <w:rsid w:val="000B387B"/>
    <w:rsid w:val="000C009D"/>
    <w:rsid w:val="000C192E"/>
    <w:rsid w:val="000C193C"/>
    <w:rsid w:val="000C290D"/>
    <w:rsid w:val="000D410D"/>
    <w:rsid w:val="000D61DB"/>
    <w:rsid w:val="000E1B07"/>
    <w:rsid w:val="000E756F"/>
    <w:rsid w:val="000E7DDC"/>
    <w:rsid w:val="000F0F45"/>
    <w:rsid w:val="000F3727"/>
    <w:rsid w:val="000F5713"/>
    <w:rsid w:val="00103449"/>
    <w:rsid w:val="00104520"/>
    <w:rsid w:val="0010458F"/>
    <w:rsid w:val="00104B41"/>
    <w:rsid w:val="00105E75"/>
    <w:rsid w:val="00106DF5"/>
    <w:rsid w:val="00107FB3"/>
    <w:rsid w:val="001123AD"/>
    <w:rsid w:val="001160E2"/>
    <w:rsid w:val="00117A63"/>
    <w:rsid w:val="00120133"/>
    <w:rsid w:val="00122B99"/>
    <w:rsid w:val="00122CB9"/>
    <w:rsid w:val="001233C7"/>
    <w:rsid w:val="00123F98"/>
    <w:rsid w:val="0012452A"/>
    <w:rsid w:val="00134272"/>
    <w:rsid w:val="00134383"/>
    <w:rsid w:val="00135312"/>
    <w:rsid w:val="00137477"/>
    <w:rsid w:val="001374E9"/>
    <w:rsid w:val="0013767C"/>
    <w:rsid w:val="00137DA6"/>
    <w:rsid w:val="001406F9"/>
    <w:rsid w:val="00143526"/>
    <w:rsid w:val="00144784"/>
    <w:rsid w:val="00144CB3"/>
    <w:rsid w:val="001518BA"/>
    <w:rsid w:val="001542C7"/>
    <w:rsid w:val="0015626C"/>
    <w:rsid w:val="00156F4E"/>
    <w:rsid w:val="00157323"/>
    <w:rsid w:val="0015735A"/>
    <w:rsid w:val="001579EB"/>
    <w:rsid w:val="001631CD"/>
    <w:rsid w:val="0016369E"/>
    <w:rsid w:val="001727C8"/>
    <w:rsid w:val="00173975"/>
    <w:rsid w:val="00174D91"/>
    <w:rsid w:val="00190E05"/>
    <w:rsid w:val="001A2C2B"/>
    <w:rsid w:val="001A62E8"/>
    <w:rsid w:val="001A6559"/>
    <w:rsid w:val="001B2E61"/>
    <w:rsid w:val="001B3C1B"/>
    <w:rsid w:val="001B76D8"/>
    <w:rsid w:val="001C0660"/>
    <w:rsid w:val="001C0BE7"/>
    <w:rsid w:val="001C1EF7"/>
    <w:rsid w:val="001C5D6A"/>
    <w:rsid w:val="001D2159"/>
    <w:rsid w:val="001D2CE0"/>
    <w:rsid w:val="001E00CE"/>
    <w:rsid w:val="001E1A05"/>
    <w:rsid w:val="001E34CB"/>
    <w:rsid w:val="001E69B5"/>
    <w:rsid w:val="001F081A"/>
    <w:rsid w:val="001F3DD7"/>
    <w:rsid w:val="001F48D8"/>
    <w:rsid w:val="001F49A9"/>
    <w:rsid w:val="001F52EF"/>
    <w:rsid w:val="00200863"/>
    <w:rsid w:val="00202B1E"/>
    <w:rsid w:val="00202BF7"/>
    <w:rsid w:val="00207BA7"/>
    <w:rsid w:val="002137DE"/>
    <w:rsid w:val="00213F2D"/>
    <w:rsid w:val="0022230F"/>
    <w:rsid w:val="00223372"/>
    <w:rsid w:val="002278FE"/>
    <w:rsid w:val="002307F8"/>
    <w:rsid w:val="00240873"/>
    <w:rsid w:val="00241526"/>
    <w:rsid w:val="00246543"/>
    <w:rsid w:val="00246708"/>
    <w:rsid w:val="0025007B"/>
    <w:rsid w:val="002510A1"/>
    <w:rsid w:val="00253345"/>
    <w:rsid w:val="002622A5"/>
    <w:rsid w:val="002643EA"/>
    <w:rsid w:val="00265EF3"/>
    <w:rsid w:val="002665FC"/>
    <w:rsid w:val="002706D0"/>
    <w:rsid w:val="0028053F"/>
    <w:rsid w:val="0029064E"/>
    <w:rsid w:val="0029082F"/>
    <w:rsid w:val="002908A2"/>
    <w:rsid w:val="002A21B4"/>
    <w:rsid w:val="002A315B"/>
    <w:rsid w:val="002A5BE4"/>
    <w:rsid w:val="002B1475"/>
    <w:rsid w:val="002B247F"/>
    <w:rsid w:val="002B3E5A"/>
    <w:rsid w:val="002B7A60"/>
    <w:rsid w:val="002C1D5D"/>
    <w:rsid w:val="002C4631"/>
    <w:rsid w:val="002C7C70"/>
    <w:rsid w:val="002D1431"/>
    <w:rsid w:val="002E7161"/>
    <w:rsid w:val="00306A78"/>
    <w:rsid w:val="00315968"/>
    <w:rsid w:val="0031789A"/>
    <w:rsid w:val="00320FDA"/>
    <w:rsid w:val="00321F6B"/>
    <w:rsid w:val="003231A9"/>
    <w:rsid w:val="00324F39"/>
    <w:rsid w:val="0032540C"/>
    <w:rsid w:val="00325C31"/>
    <w:rsid w:val="003261EE"/>
    <w:rsid w:val="003276E1"/>
    <w:rsid w:val="00331734"/>
    <w:rsid w:val="003415CC"/>
    <w:rsid w:val="00342965"/>
    <w:rsid w:val="003454C4"/>
    <w:rsid w:val="00351B56"/>
    <w:rsid w:val="00356589"/>
    <w:rsid w:val="0036004D"/>
    <w:rsid w:val="00362B19"/>
    <w:rsid w:val="00364D17"/>
    <w:rsid w:val="0037337C"/>
    <w:rsid w:val="00373823"/>
    <w:rsid w:val="00380119"/>
    <w:rsid w:val="003862B1"/>
    <w:rsid w:val="003944C3"/>
    <w:rsid w:val="003945D3"/>
    <w:rsid w:val="00396BF5"/>
    <w:rsid w:val="003A6870"/>
    <w:rsid w:val="003B14B6"/>
    <w:rsid w:val="003B354C"/>
    <w:rsid w:val="003B492C"/>
    <w:rsid w:val="003B5181"/>
    <w:rsid w:val="003C0435"/>
    <w:rsid w:val="003C0881"/>
    <w:rsid w:val="003C3694"/>
    <w:rsid w:val="003E2313"/>
    <w:rsid w:val="003E40C6"/>
    <w:rsid w:val="003E74C6"/>
    <w:rsid w:val="003F3F6C"/>
    <w:rsid w:val="003F7E53"/>
    <w:rsid w:val="00400C2D"/>
    <w:rsid w:val="004020B2"/>
    <w:rsid w:val="004117FB"/>
    <w:rsid w:val="00414C20"/>
    <w:rsid w:val="004210E9"/>
    <w:rsid w:val="0042220C"/>
    <w:rsid w:val="0043022B"/>
    <w:rsid w:val="004303BE"/>
    <w:rsid w:val="00431E95"/>
    <w:rsid w:val="004358A5"/>
    <w:rsid w:val="0044020C"/>
    <w:rsid w:val="00441BF7"/>
    <w:rsid w:val="00443E47"/>
    <w:rsid w:val="0044414A"/>
    <w:rsid w:val="004466AD"/>
    <w:rsid w:val="00450D91"/>
    <w:rsid w:val="00453FB0"/>
    <w:rsid w:val="00461C3C"/>
    <w:rsid w:val="00463B72"/>
    <w:rsid w:val="00470842"/>
    <w:rsid w:val="00474E33"/>
    <w:rsid w:val="0047516C"/>
    <w:rsid w:val="0047600E"/>
    <w:rsid w:val="0047628C"/>
    <w:rsid w:val="00481001"/>
    <w:rsid w:val="00482586"/>
    <w:rsid w:val="00486207"/>
    <w:rsid w:val="00486437"/>
    <w:rsid w:val="00493213"/>
    <w:rsid w:val="00495DBD"/>
    <w:rsid w:val="004A0CCD"/>
    <w:rsid w:val="004A223A"/>
    <w:rsid w:val="004A4BCB"/>
    <w:rsid w:val="004A4F42"/>
    <w:rsid w:val="004A6C8E"/>
    <w:rsid w:val="004B5FA2"/>
    <w:rsid w:val="004C2842"/>
    <w:rsid w:val="004C63CB"/>
    <w:rsid w:val="004C70D7"/>
    <w:rsid w:val="004C7347"/>
    <w:rsid w:val="004D3BE0"/>
    <w:rsid w:val="004D4761"/>
    <w:rsid w:val="004D708A"/>
    <w:rsid w:val="004E0E0F"/>
    <w:rsid w:val="004E24FB"/>
    <w:rsid w:val="004E2AAF"/>
    <w:rsid w:val="004E2D63"/>
    <w:rsid w:val="004E49E1"/>
    <w:rsid w:val="004F28EA"/>
    <w:rsid w:val="004F2C23"/>
    <w:rsid w:val="004F64DF"/>
    <w:rsid w:val="004F6591"/>
    <w:rsid w:val="005002F3"/>
    <w:rsid w:val="00500450"/>
    <w:rsid w:val="005029CA"/>
    <w:rsid w:val="00507F62"/>
    <w:rsid w:val="0051017A"/>
    <w:rsid w:val="00510DCB"/>
    <w:rsid w:val="00512CB8"/>
    <w:rsid w:val="00512ED5"/>
    <w:rsid w:val="00513FE2"/>
    <w:rsid w:val="005163AD"/>
    <w:rsid w:val="00516C29"/>
    <w:rsid w:val="00523624"/>
    <w:rsid w:val="00526599"/>
    <w:rsid w:val="00531A60"/>
    <w:rsid w:val="005326C0"/>
    <w:rsid w:val="00540604"/>
    <w:rsid w:val="005416BE"/>
    <w:rsid w:val="005435AB"/>
    <w:rsid w:val="00547E96"/>
    <w:rsid w:val="005657ED"/>
    <w:rsid w:val="00572C77"/>
    <w:rsid w:val="00573C0F"/>
    <w:rsid w:val="0059542C"/>
    <w:rsid w:val="00597092"/>
    <w:rsid w:val="005A1133"/>
    <w:rsid w:val="005A7504"/>
    <w:rsid w:val="005B2664"/>
    <w:rsid w:val="005B5FB1"/>
    <w:rsid w:val="005B7557"/>
    <w:rsid w:val="005B7CCE"/>
    <w:rsid w:val="005C076A"/>
    <w:rsid w:val="005D023A"/>
    <w:rsid w:val="005D282C"/>
    <w:rsid w:val="005D3C0D"/>
    <w:rsid w:val="005D47BD"/>
    <w:rsid w:val="005D49BA"/>
    <w:rsid w:val="005D7850"/>
    <w:rsid w:val="005D7CA3"/>
    <w:rsid w:val="005E1F47"/>
    <w:rsid w:val="005E339D"/>
    <w:rsid w:val="005E33E8"/>
    <w:rsid w:val="005F26CB"/>
    <w:rsid w:val="005F37A5"/>
    <w:rsid w:val="00602299"/>
    <w:rsid w:val="00604EC9"/>
    <w:rsid w:val="00611017"/>
    <w:rsid w:val="00614EAC"/>
    <w:rsid w:val="006151BF"/>
    <w:rsid w:val="00623C74"/>
    <w:rsid w:val="00627AAD"/>
    <w:rsid w:val="00627DBC"/>
    <w:rsid w:val="00632DAC"/>
    <w:rsid w:val="00636604"/>
    <w:rsid w:val="00641590"/>
    <w:rsid w:val="006427A0"/>
    <w:rsid w:val="00654449"/>
    <w:rsid w:val="00655337"/>
    <w:rsid w:val="00655E28"/>
    <w:rsid w:val="00655FAE"/>
    <w:rsid w:val="00657279"/>
    <w:rsid w:val="00662275"/>
    <w:rsid w:val="0066372B"/>
    <w:rsid w:val="00664AED"/>
    <w:rsid w:val="00665401"/>
    <w:rsid w:val="00665707"/>
    <w:rsid w:val="00665E84"/>
    <w:rsid w:val="0066639B"/>
    <w:rsid w:val="00666C67"/>
    <w:rsid w:val="00666EE7"/>
    <w:rsid w:val="006724D7"/>
    <w:rsid w:val="006739F5"/>
    <w:rsid w:val="00683387"/>
    <w:rsid w:val="00687AAA"/>
    <w:rsid w:val="00694CA7"/>
    <w:rsid w:val="00697951"/>
    <w:rsid w:val="006A0814"/>
    <w:rsid w:val="006A0E36"/>
    <w:rsid w:val="006A13A1"/>
    <w:rsid w:val="006A43A6"/>
    <w:rsid w:val="006A5462"/>
    <w:rsid w:val="006A73DF"/>
    <w:rsid w:val="006B0398"/>
    <w:rsid w:val="006B31AA"/>
    <w:rsid w:val="006B51BC"/>
    <w:rsid w:val="006C0E32"/>
    <w:rsid w:val="006C35BB"/>
    <w:rsid w:val="006C595D"/>
    <w:rsid w:val="006C63C5"/>
    <w:rsid w:val="006D56F0"/>
    <w:rsid w:val="006D636A"/>
    <w:rsid w:val="006D7567"/>
    <w:rsid w:val="006E01E7"/>
    <w:rsid w:val="006E0257"/>
    <w:rsid w:val="006E2301"/>
    <w:rsid w:val="006E3EA1"/>
    <w:rsid w:val="006F0062"/>
    <w:rsid w:val="006F04CA"/>
    <w:rsid w:val="006F2C36"/>
    <w:rsid w:val="00704770"/>
    <w:rsid w:val="0070479B"/>
    <w:rsid w:val="00704CAC"/>
    <w:rsid w:val="00706955"/>
    <w:rsid w:val="0071030C"/>
    <w:rsid w:val="00710736"/>
    <w:rsid w:val="0071081C"/>
    <w:rsid w:val="00711B3C"/>
    <w:rsid w:val="00714FB3"/>
    <w:rsid w:val="00715E83"/>
    <w:rsid w:val="00716172"/>
    <w:rsid w:val="00716FD9"/>
    <w:rsid w:val="00725E9D"/>
    <w:rsid w:val="00727243"/>
    <w:rsid w:val="0072791A"/>
    <w:rsid w:val="0073006D"/>
    <w:rsid w:val="00734820"/>
    <w:rsid w:val="007374A9"/>
    <w:rsid w:val="00740085"/>
    <w:rsid w:val="00740B22"/>
    <w:rsid w:val="00740C32"/>
    <w:rsid w:val="00746E8E"/>
    <w:rsid w:val="00747988"/>
    <w:rsid w:val="007479C1"/>
    <w:rsid w:val="007549D0"/>
    <w:rsid w:val="0076054E"/>
    <w:rsid w:val="00761FEE"/>
    <w:rsid w:val="00762B58"/>
    <w:rsid w:val="00772BB8"/>
    <w:rsid w:val="00772BC6"/>
    <w:rsid w:val="00773255"/>
    <w:rsid w:val="007736CF"/>
    <w:rsid w:val="007766BC"/>
    <w:rsid w:val="007804D6"/>
    <w:rsid w:val="00782C0F"/>
    <w:rsid w:val="00794CB9"/>
    <w:rsid w:val="00795F98"/>
    <w:rsid w:val="00796185"/>
    <w:rsid w:val="007A0F07"/>
    <w:rsid w:val="007A0FDD"/>
    <w:rsid w:val="007A4CA7"/>
    <w:rsid w:val="007A720F"/>
    <w:rsid w:val="007B1ABC"/>
    <w:rsid w:val="007B1CB7"/>
    <w:rsid w:val="007B1DE8"/>
    <w:rsid w:val="007B7982"/>
    <w:rsid w:val="007B7DAD"/>
    <w:rsid w:val="007C5EB3"/>
    <w:rsid w:val="007C75CA"/>
    <w:rsid w:val="007D15C9"/>
    <w:rsid w:val="007D20F9"/>
    <w:rsid w:val="007D3C9B"/>
    <w:rsid w:val="007E544C"/>
    <w:rsid w:val="007E65BC"/>
    <w:rsid w:val="007F0ABB"/>
    <w:rsid w:val="007F4B40"/>
    <w:rsid w:val="007F761B"/>
    <w:rsid w:val="008010F0"/>
    <w:rsid w:val="00803D68"/>
    <w:rsid w:val="00803D83"/>
    <w:rsid w:val="008046EA"/>
    <w:rsid w:val="0080532A"/>
    <w:rsid w:val="00807E9F"/>
    <w:rsid w:val="0081058A"/>
    <w:rsid w:val="00821993"/>
    <w:rsid w:val="0083242C"/>
    <w:rsid w:val="00834835"/>
    <w:rsid w:val="008352E6"/>
    <w:rsid w:val="008353CC"/>
    <w:rsid w:val="008365A7"/>
    <w:rsid w:val="00852C7B"/>
    <w:rsid w:val="00852E4F"/>
    <w:rsid w:val="008532EE"/>
    <w:rsid w:val="00854750"/>
    <w:rsid w:val="00863170"/>
    <w:rsid w:val="00865DFF"/>
    <w:rsid w:val="00866FE6"/>
    <w:rsid w:val="00874EC2"/>
    <w:rsid w:val="00880C4E"/>
    <w:rsid w:val="008878AD"/>
    <w:rsid w:val="008908B7"/>
    <w:rsid w:val="00891F0E"/>
    <w:rsid w:val="0089276F"/>
    <w:rsid w:val="00895147"/>
    <w:rsid w:val="008A0440"/>
    <w:rsid w:val="008B040D"/>
    <w:rsid w:val="008B25DE"/>
    <w:rsid w:val="008B3B16"/>
    <w:rsid w:val="008C48CF"/>
    <w:rsid w:val="008D6401"/>
    <w:rsid w:val="008D6C36"/>
    <w:rsid w:val="008D6E10"/>
    <w:rsid w:val="008D7AD2"/>
    <w:rsid w:val="008E16F8"/>
    <w:rsid w:val="008E457E"/>
    <w:rsid w:val="008E663B"/>
    <w:rsid w:val="008E696A"/>
    <w:rsid w:val="008F33E4"/>
    <w:rsid w:val="008F42BB"/>
    <w:rsid w:val="008F4C06"/>
    <w:rsid w:val="00902449"/>
    <w:rsid w:val="0091368F"/>
    <w:rsid w:val="00920279"/>
    <w:rsid w:val="009222FD"/>
    <w:rsid w:val="00922521"/>
    <w:rsid w:val="00925CB1"/>
    <w:rsid w:val="00931557"/>
    <w:rsid w:val="00934366"/>
    <w:rsid w:val="00936C97"/>
    <w:rsid w:val="00936E04"/>
    <w:rsid w:val="009412FF"/>
    <w:rsid w:val="00941C35"/>
    <w:rsid w:val="00943B37"/>
    <w:rsid w:val="00945080"/>
    <w:rsid w:val="00945156"/>
    <w:rsid w:val="00951621"/>
    <w:rsid w:val="00954C5E"/>
    <w:rsid w:val="00957CA0"/>
    <w:rsid w:val="0096118D"/>
    <w:rsid w:val="009626E0"/>
    <w:rsid w:val="009628F7"/>
    <w:rsid w:val="0096380F"/>
    <w:rsid w:val="00965648"/>
    <w:rsid w:val="009657A5"/>
    <w:rsid w:val="0096629A"/>
    <w:rsid w:val="00967CCC"/>
    <w:rsid w:val="00972DFE"/>
    <w:rsid w:val="00973973"/>
    <w:rsid w:val="00983403"/>
    <w:rsid w:val="00990468"/>
    <w:rsid w:val="00993380"/>
    <w:rsid w:val="009A3222"/>
    <w:rsid w:val="009A476D"/>
    <w:rsid w:val="009B284E"/>
    <w:rsid w:val="009B28BF"/>
    <w:rsid w:val="009B4F59"/>
    <w:rsid w:val="009C64EB"/>
    <w:rsid w:val="009C67B7"/>
    <w:rsid w:val="009D004C"/>
    <w:rsid w:val="009D22A3"/>
    <w:rsid w:val="009D3AF2"/>
    <w:rsid w:val="009E4452"/>
    <w:rsid w:val="009E504B"/>
    <w:rsid w:val="009E5272"/>
    <w:rsid w:val="009E62F2"/>
    <w:rsid w:val="009E6B4E"/>
    <w:rsid w:val="009E756E"/>
    <w:rsid w:val="009E7E98"/>
    <w:rsid w:val="009F1D9A"/>
    <w:rsid w:val="009F1FF6"/>
    <w:rsid w:val="009F43F8"/>
    <w:rsid w:val="00A01262"/>
    <w:rsid w:val="00A037B1"/>
    <w:rsid w:val="00A041E8"/>
    <w:rsid w:val="00A1642F"/>
    <w:rsid w:val="00A165D6"/>
    <w:rsid w:val="00A21293"/>
    <w:rsid w:val="00A229FC"/>
    <w:rsid w:val="00A26B70"/>
    <w:rsid w:val="00A3086A"/>
    <w:rsid w:val="00A3356D"/>
    <w:rsid w:val="00A36157"/>
    <w:rsid w:val="00A401F9"/>
    <w:rsid w:val="00A41527"/>
    <w:rsid w:val="00A41F4D"/>
    <w:rsid w:val="00A43A5C"/>
    <w:rsid w:val="00A447A3"/>
    <w:rsid w:val="00A44F2E"/>
    <w:rsid w:val="00A46A5E"/>
    <w:rsid w:val="00A527A6"/>
    <w:rsid w:val="00A529C9"/>
    <w:rsid w:val="00A52EA6"/>
    <w:rsid w:val="00A549DB"/>
    <w:rsid w:val="00A55114"/>
    <w:rsid w:val="00A57DD9"/>
    <w:rsid w:val="00A70036"/>
    <w:rsid w:val="00A713E0"/>
    <w:rsid w:val="00A7571C"/>
    <w:rsid w:val="00A803D8"/>
    <w:rsid w:val="00A81F8E"/>
    <w:rsid w:val="00A821EC"/>
    <w:rsid w:val="00A82BE0"/>
    <w:rsid w:val="00A8482B"/>
    <w:rsid w:val="00A85790"/>
    <w:rsid w:val="00A935B8"/>
    <w:rsid w:val="00A9761A"/>
    <w:rsid w:val="00A976C6"/>
    <w:rsid w:val="00AB2D51"/>
    <w:rsid w:val="00AB3845"/>
    <w:rsid w:val="00AB5744"/>
    <w:rsid w:val="00AB6191"/>
    <w:rsid w:val="00AC2FBD"/>
    <w:rsid w:val="00AC35B9"/>
    <w:rsid w:val="00AC498E"/>
    <w:rsid w:val="00AD29C1"/>
    <w:rsid w:val="00AD33BF"/>
    <w:rsid w:val="00AD4E14"/>
    <w:rsid w:val="00AD74CA"/>
    <w:rsid w:val="00AD7EF3"/>
    <w:rsid w:val="00AE5C30"/>
    <w:rsid w:val="00AE7806"/>
    <w:rsid w:val="00AE7AB5"/>
    <w:rsid w:val="00AF0F1B"/>
    <w:rsid w:val="00AF71D1"/>
    <w:rsid w:val="00B077EC"/>
    <w:rsid w:val="00B12666"/>
    <w:rsid w:val="00B138EB"/>
    <w:rsid w:val="00B14CF8"/>
    <w:rsid w:val="00B163B1"/>
    <w:rsid w:val="00B225FF"/>
    <w:rsid w:val="00B33EA1"/>
    <w:rsid w:val="00B43990"/>
    <w:rsid w:val="00B473FE"/>
    <w:rsid w:val="00B53BEB"/>
    <w:rsid w:val="00B54AC4"/>
    <w:rsid w:val="00B56CE8"/>
    <w:rsid w:val="00B570C1"/>
    <w:rsid w:val="00B610D2"/>
    <w:rsid w:val="00B64D40"/>
    <w:rsid w:val="00B704D0"/>
    <w:rsid w:val="00B72754"/>
    <w:rsid w:val="00B72EBE"/>
    <w:rsid w:val="00B738A6"/>
    <w:rsid w:val="00B750E0"/>
    <w:rsid w:val="00B769B9"/>
    <w:rsid w:val="00B76F4B"/>
    <w:rsid w:val="00B9067D"/>
    <w:rsid w:val="00B91205"/>
    <w:rsid w:val="00B95279"/>
    <w:rsid w:val="00B965F9"/>
    <w:rsid w:val="00B96602"/>
    <w:rsid w:val="00B977FB"/>
    <w:rsid w:val="00BA23C5"/>
    <w:rsid w:val="00BA2BDD"/>
    <w:rsid w:val="00BA3BE9"/>
    <w:rsid w:val="00BA5094"/>
    <w:rsid w:val="00BB2901"/>
    <w:rsid w:val="00BB3AD3"/>
    <w:rsid w:val="00BB5919"/>
    <w:rsid w:val="00BC0271"/>
    <w:rsid w:val="00BC3666"/>
    <w:rsid w:val="00BC5319"/>
    <w:rsid w:val="00BC62ED"/>
    <w:rsid w:val="00BC6935"/>
    <w:rsid w:val="00BC7FEA"/>
    <w:rsid w:val="00BD009A"/>
    <w:rsid w:val="00BD4844"/>
    <w:rsid w:val="00BD6483"/>
    <w:rsid w:val="00BD64BC"/>
    <w:rsid w:val="00BE2D23"/>
    <w:rsid w:val="00BE40D1"/>
    <w:rsid w:val="00BF0BD9"/>
    <w:rsid w:val="00BF79DB"/>
    <w:rsid w:val="00C02026"/>
    <w:rsid w:val="00C044C7"/>
    <w:rsid w:val="00C13651"/>
    <w:rsid w:val="00C14D1C"/>
    <w:rsid w:val="00C16B13"/>
    <w:rsid w:val="00C24E3B"/>
    <w:rsid w:val="00C25F46"/>
    <w:rsid w:val="00C30955"/>
    <w:rsid w:val="00C34D14"/>
    <w:rsid w:val="00C37A36"/>
    <w:rsid w:val="00C41B24"/>
    <w:rsid w:val="00C42D15"/>
    <w:rsid w:val="00C4417F"/>
    <w:rsid w:val="00C4557B"/>
    <w:rsid w:val="00C456A6"/>
    <w:rsid w:val="00C45F71"/>
    <w:rsid w:val="00C46888"/>
    <w:rsid w:val="00C4707E"/>
    <w:rsid w:val="00C5504B"/>
    <w:rsid w:val="00C63127"/>
    <w:rsid w:val="00C724E7"/>
    <w:rsid w:val="00C80055"/>
    <w:rsid w:val="00C833EF"/>
    <w:rsid w:val="00C87219"/>
    <w:rsid w:val="00C910E1"/>
    <w:rsid w:val="00C941AA"/>
    <w:rsid w:val="00CA4D65"/>
    <w:rsid w:val="00CA4DB2"/>
    <w:rsid w:val="00CA6EA3"/>
    <w:rsid w:val="00CB1CF9"/>
    <w:rsid w:val="00CB27C8"/>
    <w:rsid w:val="00CB384A"/>
    <w:rsid w:val="00CB70B9"/>
    <w:rsid w:val="00CB70C7"/>
    <w:rsid w:val="00CC0077"/>
    <w:rsid w:val="00CC1734"/>
    <w:rsid w:val="00CC2634"/>
    <w:rsid w:val="00CC6354"/>
    <w:rsid w:val="00CC67C6"/>
    <w:rsid w:val="00CD2082"/>
    <w:rsid w:val="00CD2D66"/>
    <w:rsid w:val="00CD70C4"/>
    <w:rsid w:val="00CE1AA5"/>
    <w:rsid w:val="00CF0D62"/>
    <w:rsid w:val="00CF211D"/>
    <w:rsid w:val="00CF5CFE"/>
    <w:rsid w:val="00CF7C65"/>
    <w:rsid w:val="00D00378"/>
    <w:rsid w:val="00D0295E"/>
    <w:rsid w:val="00D0598A"/>
    <w:rsid w:val="00D12531"/>
    <w:rsid w:val="00D20FA2"/>
    <w:rsid w:val="00D21132"/>
    <w:rsid w:val="00D2159F"/>
    <w:rsid w:val="00D228E1"/>
    <w:rsid w:val="00D23667"/>
    <w:rsid w:val="00D244C9"/>
    <w:rsid w:val="00D276C4"/>
    <w:rsid w:val="00D27F39"/>
    <w:rsid w:val="00D3010E"/>
    <w:rsid w:val="00D30FF8"/>
    <w:rsid w:val="00D317F1"/>
    <w:rsid w:val="00D32029"/>
    <w:rsid w:val="00D364C7"/>
    <w:rsid w:val="00D37464"/>
    <w:rsid w:val="00D40C9F"/>
    <w:rsid w:val="00D44B83"/>
    <w:rsid w:val="00D51020"/>
    <w:rsid w:val="00D542AE"/>
    <w:rsid w:val="00D54B73"/>
    <w:rsid w:val="00D604CC"/>
    <w:rsid w:val="00D609A1"/>
    <w:rsid w:val="00D67CDE"/>
    <w:rsid w:val="00D71098"/>
    <w:rsid w:val="00D74F8D"/>
    <w:rsid w:val="00D77989"/>
    <w:rsid w:val="00D80DBF"/>
    <w:rsid w:val="00D877E2"/>
    <w:rsid w:val="00D91D93"/>
    <w:rsid w:val="00D966CB"/>
    <w:rsid w:val="00DA1223"/>
    <w:rsid w:val="00DA1246"/>
    <w:rsid w:val="00DA4F72"/>
    <w:rsid w:val="00DB3F17"/>
    <w:rsid w:val="00DE2AFA"/>
    <w:rsid w:val="00DE325C"/>
    <w:rsid w:val="00DE61B9"/>
    <w:rsid w:val="00DE6E53"/>
    <w:rsid w:val="00DF04A4"/>
    <w:rsid w:val="00DF7A86"/>
    <w:rsid w:val="00E00B2D"/>
    <w:rsid w:val="00E02E2D"/>
    <w:rsid w:val="00E0743B"/>
    <w:rsid w:val="00E07C97"/>
    <w:rsid w:val="00E10D37"/>
    <w:rsid w:val="00E11090"/>
    <w:rsid w:val="00E148DE"/>
    <w:rsid w:val="00E213F9"/>
    <w:rsid w:val="00E22BF9"/>
    <w:rsid w:val="00E231E2"/>
    <w:rsid w:val="00E317C6"/>
    <w:rsid w:val="00E31C5E"/>
    <w:rsid w:val="00E31EC5"/>
    <w:rsid w:val="00E32AC8"/>
    <w:rsid w:val="00E33A9C"/>
    <w:rsid w:val="00E36814"/>
    <w:rsid w:val="00E4206F"/>
    <w:rsid w:val="00E4327C"/>
    <w:rsid w:val="00E45871"/>
    <w:rsid w:val="00E46956"/>
    <w:rsid w:val="00E55EE7"/>
    <w:rsid w:val="00E60B08"/>
    <w:rsid w:val="00E64BAC"/>
    <w:rsid w:val="00E65A7D"/>
    <w:rsid w:val="00E65D1B"/>
    <w:rsid w:val="00E65FE4"/>
    <w:rsid w:val="00E66DA9"/>
    <w:rsid w:val="00E70B30"/>
    <w:rsid w:val="00E72B4E"/>
    <w:rsid w:val="00E73037"/>
    <w:rsid w:val="00E8035E"/>
    <w:rsid w:val="00E804A5"/>
    <w:rsid w:val="00E80B4B"/>
    <w:rsid w:val="00E861DB"/>
    <w:rsid w:val="00E86F35"/>
    <w:rsid w:val="00E90450"/>
    <w:rsid w:val="00E9175C"/>
    <w:rsid w:val="00E92622"/>
    <w:rsid w:val="00E92E82"/>
    <w:rsid w:val="00E93C10"/>
    <w:rsid w:val="00E97F12"/>
    <w:rsid w:val="00EA26E0"/>
    <w:rsid w:val="00EA35F6"/>
    <w:rsid w:val="00EA455E"/>
    <w:rsid w:val="00EB075B"/>
    <w:rsid w:val="00EB1853"/>
    <w:rsid w:val="00EB4BC9"/>
    <w:rsid w:val="00EB6C19"/>
    <w:rsid w:val="00EC094D"/>
    <w:rsid w:val="00EC530F"/>
    <w:rsid w:val="00ED3692"/>
    <w:rsid w:val="00ED3A46"/>
    <w:rsid w:val="00ED646E"/>
    <w:rsid w:val="00ED6B50"/>
    <w:rsid w:val="00EE0985"/>
    <w:rsid w:val="00EE2B48"/>
    <w:rsid w:val="00EE3B8E"/>
    <w:rsid w:val="00EF5FF8"/>
    <w:rsid w:val="00F00420"/>
    <w:rsid w:val="00F00A57"/>
    <w:rsid w:val="00F03018"/>
    <w:rsid w:val="00F067B3"/>
    <w:rsid w:val="00F077FD"/>
    <w:rsid w:val="00F13A82"/>
    <w:rsid w:val="00F15310"/>
    <w:rsid w:val="00F1746B"/>
    <w:rsid w:val="00F17BE2"/>
    <w:rsid w:val="00F20398"/>
    <w:rsid w:val="00F223D5"/>
    <w:rsid w:val="00F24D50"/>
    <w:rsid w:val="00F27945"/>
    <w:rsid w:val="00F307F7"/>
    <w:rsid w:val="00F31457"/>
    <w:rsid w:val="00F32E44"/>
    <w:rsid w:val="00F3306A"/>
    <w:rsid w:val="00F3373C"/>
    <w:rsid w:val="00F33A1E"/>
    <w:rsid w:val="00F373AA"/>
    <w:rsid w:val="00F40B19"/>
    <w:rsid w:val="00F45DEC"/>
    <w:rsid w:val="00F463BC"/>
    <w:rsid w:val="00F5667B"/>
    <w:rsid w:val="00F56868"/>
    <w:rsid w:val="00F60A06"/>
    <w:rsid w:val="00F62844"/>
    <w:rsid w:val="00F63614"/>
    <w:rsid w:val="00F74C8E"/>
    <w:rsid w:val="00F7744B"/>
    <w:rsid w:val="00F810C8"/>
    <w:rsid w:val="00F8384D"/>
    <w:rsid w:val="00F83978"/>
    <w:rsid w:val="00F8582F"/>
    <w:rsid w:val="00F8654D"/>
    <w:rsid w:val="00F87A1B"/>
    <w:rsid w:val="00F90D92"/>
    <w:rsid w:val="00F923D0"/>
    <w:rsid w:val="00F930DA"/>
    <w:rsid w:val="00F93704"/>
    <w:rsid w:val="00F94BE2"/>
    <w:rsid w:val="00FA4BE7"/>
    <w:rsid w:val="00FA6DA8"/>
    <w:rsid w:val="00FA70B9"/>
    <w:rsid w:val="00FB57F0"/>
    <w:rsid w:val="00FB62E4"/>
    <w:rsid w:val="00FC4A79"/>
    <w:rsid w:val="00FC7620"/>
    <w:rsid w:val="00FC7931"/>
    <w:rsid w:val="00FD0BF9"/>
    <w:rsid w:val="00FD7552"/>
    <w:rsid w:val="00FE0180"/>
    <w:rsid w:val="00FE4F87"/>
    <w:rsid w:val="00FE66CC"/>
    <w:rsid w:val="00FF0370"/>
    <w:rsid w:val="00FF7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5292A"/>
  <w15:docId w15:val="{0B623A38-93B9-4B37-90A8-E4DE33680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955"/>
    <w:pPr>
      <w:spacing w:after="0" w:line="240" w:lineRule="auto"/>
    </w:pPr>
  </w:style>
  <w:style w:type="paragraph" w:styleId="Heading1">
    <w:name w:val="heading 1"/>
    <w:basedOn w:val="Normal"/>
    <w:next w:val="Normal"/>
    <w:link w:val="Heading1Char"/>
    <w:qFormat/>
    <w:rsid w:val="00922521"/>
    <w:pPr>
      <w:keepNext/>
      <w:jc w:val="center"/>
      <w:outlineLvl w:val="0"/>
    </w:pPr>
    <w:rPr>
      <w:rFonts w:eastAsia="Times New Roman" w:cs="Times New Roman"/>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Header">
    <w:name w:val="Article Header"/>
    <w:basedOn w:val="Normal"/>
    <w:next w:val="Normal"/>
    <w:link w:val="ArticleHeaderChar"/>
    <w:autoRedefine/>
    <w:qFormat/>
    <w:rsid w:val="00683387"/>
    <w:pPr>
      <w:keepNext/>
      <w:numPr>
        <w:numId w:val="4"/>
      </w:numPr>
      <w:ind w:left="720" w:hanging="720"/>
    </w:pPr>
    <w:rPr>
      <w:b/>
      <w:caps/>
      <w:color w:val="000000" w:themeColor="text1"/>
      <w:sz w:val="28"/>
      <w:szCs w:val="28"/>
    </w:rPr>
  </w:style>
  <w:style w:type="character" w:customStyle="1" w:styleId="ArticleHeaderChar">
    <w:name w:val="Article Header Char"/>
    <w:basedOn w:val="DefaultParagraphFont"/>
    <w:link w:val="ArticleHeader"/>
    <w:rsid w:val="00683387"/>
    <w:rPr>
      <w:b/>
      <w:caps/>
      <w:color w:val="000000" w:themeColor="text1"/>
      <w:sz w:val="28"/>
      <w:szCs w:val="28"/>
    </w:rPr>
  </w:style>
  <w:style w:type="table" w:styleId="TableGrid">
    <w:name w:val="Table Grid"/>
    <w:basedOn w:val="TableNormal"/>
    <w:rsid w:val="008878AD"/>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878AD"/>
    <w:pPr>
      <w:jc w:val="both"/>
    </w:pPr>
    <w:rPr>
      <w:rFonts w:eastAsia="Times New Roman" w:cs="Times New Roman"/>
      <w:szCs w:val="20"/>
    </w:rPr>
  </w:style>
  <w:style w:type="character" w:customStyle="1" w:styleId="HeaderChar">
    <w:name w:val="Header Char"/>
    <w:basedOn w:val="DefaultParagraphFont"/>
    <w:link w:val="Header"/>
    <w:rsid w:val="008878AD"/>
    <w:rPr>
      <w:rFonts w:eastAsia="Times New Roman" w:cs="Times New Roman"/>
      <w:szCs w:val="20"/>
    </w:rPr>
  </w:style>
  <w:style w:type="paragraph" w:styleId="Footer">
    <w:name w:val="footer"/>
    <w:basedOn w:val="Normal"/>
    <w:link w:val="FooterChar"/>
    <w:unhideWhenUsed/>
    <w:rsid w:val="008878AD"/>
    <w:pPr>
      <w:tabs>
        <w:tab w:val="center" w:pos="4680"/>
        <w:tab w:val="right" w:pos="9360"/>
      </w:tabs>
      <w:jc w:val="both"/>
    </w:pPr>
    <w:rPr>
      <w:szCs w:val="24"/>
    </w:rPr>
  </w:style>
  <w:style w:type="character" w:customStyle="1" w:styleId="FooterChar">
    <w:name w:val="Footer Char"/>
    <w:basedOn w:val="DefaultParagraphFont"/>
    <w:link w:val="Footer"/>
    <w:rsid w:val="008878AD"/>
    <w:rPr>
      <w:szCs w:val="24"/>
    </w:rPr>
  </w:style>
  <w:style w:type="paragraph" w:customStyle="1" w:styleId="ArticleParagraph">
    <w:name w:val="Article Paragraph"/>
    <w:basedOn w:val="Normal"/>
    <w:link w:val="ArticleParagraphChar"/>
    <w:qFormat/>
    <w:rsid w:val="008878AD"/>
    <w:pPr>
      <w:jc w:val="both"/>
    </w:pPr>
    <w:rPr>
      <w:szCs w:val="24"/>
    </w:rPr>
  </w:style>
  <w:style w:type="character" w:customStyle="1" w:styleId="ArticleParagraphChar">
    <w:name w:val="Article Paragraph Char"/>
    <w:basedOn w:val="DefaultParagraphFont"/>
    <w:link w:val="ArticleParagraph"/>
    <w:rsid w:val="008878AD"/>
    <w:rPr>
      <w:szCs w:val="24"/>
    </w:rPr>
  </w:style>
  <w:style w:type="paragraph" w:styleId="BalloonText">
    <w:name w:val="Balloon Text"/>
    <w:basedOn w:val="Normal"/>
    <w:link w:val="BalloonTextChar"/>
    <w:uiPriority w:val="99"/>
    <w:semiHidden/>
    <w:unhideWhenUsed/>
    <w:rsid w:val="008878AD"/>
    <w:rPr>
      <w:rFonts w:ascii="Tahoma" w:hAnsi="Tahoma" w:cs="Tahoma"/>
      <w:sz w:val="16"/>
      <w:szCs w:val="16"/>
    </w:rPr>
  </w:style>
  <w:style w:type="character" w:customStyle="1" w:styleId="BalloonTextChar">
    <w:name w:val="Balloon Text Char"/>
    <w:basedOn w:val="DefaultParagraphFont"/>
    <w:link w:val="BalloonText"/>
    <w:uiPriority w:val="99"/>
    <w:semiHidden/>
    <w:rsid w:val="008878AD"/>
    <w:rPr>
      <w:rFonts w:ascii="Tahoma" w:hAnsi="Tahoma" w:cs="Tahoma"/>
      <w:sz w:val="16"/>
      <w:szCs w:val="16"/>
    </w:rPr>
  </w:style>
  <w:style w:type="paragraph" w:customStyle="1" w:styleId="HiddenText">
    <w:name w:val="Hidden Text"/>
    <w:basedOn w:val="Normal"/>
    <w:next w:val="Normal"/>
    <w:link w:val="HiddenTextChar"/>
    <w:qFormat/>
    <w:rsid w:val="00CD2082"/>
    <w:pPr>
      <w:keepNext/>
      <w:jc w:val="both"/>
    </w:pPr>
    <w:rPr>
      <w:b/>
      <w:caps/>
      <w:vanish/>
      <w:color w:val="FF0000"/>
      <w:szCs w:val="24"/>
    </w:rPr>
  </w:style>
  <w:style w:type="character" w:customStyle="1" w:styleId="HiddenTextChar">
    <w:name w:val="Hidden Text Char"/>
    <w:basedOn w:val="DefaultParagraphFont"/>
    <w:link w:val="HiddenText"/>
    <w:rsid w:val="00CD2082"/>
    <w:rPr>
      <w:b/>
      <w:caps/>
      <w:vanish/>
      <w:color w:val="FF0000"/>
      <w:szCs w:val="24"/>
    </w:rPr>
  </w:style>
  <w:style w:type="paragraph" w:customStyle="1" w:styleId="IncorporatedDocuments">
    <w:name w:val="Incorporated Documents"/>
    <w:basedOn w:val="Normal"/>
    <w:qFormat/>
    <w:rsid w:val="001542C7"/>
    <w:pPr>
      <w:ind w:left="1080" w:hanging="360"/>
      <w:jc w:val="both"/>
    </w:pPr>
    <w:rPr>
      <w:caps/>
      <w:sz w:val="20"/>
      <w:szCs w:val="20"/>
    </w:rPr>
  </w:style>
  <w:style w:type="paragraph" w:customStyle="1" w:styleId="ArticleParagraph-A">
    <w:name w:val="Article Paragraph-A."/>
    <w:basedOn w:val="Normal"/>
    <w:qFormat/>
    <w:rsid w:val="00B33EA1"/>
    <w:pPr>
      <w:ind w:left="720" w:hanging="720"/>
      <w:jc w:val="both"/>
    </w:pPr>
    <w:rPr>
      <w:szCs w:val="24"/>
    </w:rPr>
  </w:style>
  <w:style w:type="paragraph" w:customStyle="1" w:styleId="ArticleParagraph-Asub">
    <w:name w:val="Article Paragraph-A. (sub)"/>
    <w:basedOn w:val="ArticleParagraph-A"/>
    <w:qFormat/>
    <w:rsid w:val="00B33EA1"/>
    <w:pPr>
      <w:ind w:firstLine="0"/>
    </w:pPr>
  </w:style>
  <w:style w:type="paragraph" w:customStyle="1" w:styleId="ArticleParagraph-A1">
    <w:name w:val="Article Paragraph-A.1."/>
    <w:basedOn w:val="Normal"/>
    <w:qFormat/>
    <w:rsid w:val="00461C3C"/>
    <w:pPr>
      <w:ind w:left="1440" w:hanging="720"/>
      <w:jc w:val="both"/>
    </w:pPr>
  </w:style>
  <w:style w:type="paragraph" w:customStyle="1" w:styleId="ArticleParagraph-A1sub">
    <w:name w:val="Article Paragraph-A.1. (sub)"/>
    <w:basedOn w:val="Normal"/>
    <w:qFormat/>
    <w:rsid w:val="001631CD"/>
    <w:pPr>
      <w:ind w:left="1440"/>
      <w:jc w:val="both"/>
    </w:pPr>
  </w:style>
  <w:style w:type="paragraph" w:customStyle="1" w:styleId="ArticleParagraph-A1bullet">
    <w:name w:val="Article Paragraph-A.1. (bullet)"/>
    <w:basedOn w:val="Normal"/>
    <w:qFormat/>
    <w:rsid w:val="000467E5"/>
    <w:pPr>
      <w:numPr>
        <w:numId w:val="5"/>
      </w:numPr>
      <w:jc w:val="both"/>
    </w:pPr>
    <w:rPr>
      <w:szCs w:val="24"/>
    </w:rPr>
  </w:style>
  <w:style w:type="paragraph" w:customStyle="1" w:styleId="ArticleParagraph-Abullet">
    <w:name w:val="Article Paragraph-A. (bullet)"/>
    <w:basedOn w:val="ArticleParagraph-A1"/>
    <w:qFormat/>
    <w:rsid w:val="009657A5"/>
    <w:pPr>
      <w:keepNext/>
      <w:numPr>
        <w:numId w:val="6"/>
      </w:numPr>
    </w:pPr>
    <w:rPr>
      <w:szCs w:val="24"/>
    </w:rPr>
  </w:style>
  <w:style w:type="character" w:styleId="Hyperlink">
    <w:name w:val="Hyperlink"/>
    <w:basedOn w:val="DefaultParagraphFont"/>
    <w:uiPriority w:val="99"/>
    <w:unhideWhenUsed/>
    <w:rsid w:val="00056EEE"/>
    <w:rPr>
      <w:color w:val="0000FF" w:themeColor="hyperlink"/>
      <w:u w:val="single"/>
    </w:rPr>
  </w:style>
  <w:style w:type="character" w:styleId="FollowedHyperlink">
    <w:name w:val="FollowedHyperlink"/>
    <w:basedOn w:val="DefaultParagraphFont"/>
    <w:uiPriority w:val="99"/>
    <w:semiHidden/>
    <w:unhideWhenUsed/>
    <w:rsid w:val="00EE3B8E"/>
    <w:rPr>
      <w:color w:val="800080" w:themeColor="followedHyperlink"/>
      <w:u w:val="single"/>
    </w:rPr>
  </w:style>
  <w:style w:type="character" w:customStyle="1" w:styleId="LetterParagraphChar">
    <w:name w:val="Letter Paragraph Char"/>
    <w:basedOn w:val="DefaultParagraphFont"/>
    <w:link w:val="LetterParagraph"/>
    <w:locked/>
    <w:rsid w:val="00DF7A86"/>
    <w:rPr>
      <w:szCs w:val="24"/>
    </w:rPr>
  </w:style>
  <w:style w:type="paragraph" w:customStyle="1" w:styleId="LetterParagraph">
    <w:name w:val="Letter Paragraph"/>
    <w:basedOn w:val="Normal"/>
    <w:link w:val="LetterParagraphChar"/>
    <w:rsid w:val="00DF7A86"/>
    <w:pPr>
      <w:ind w:left="720"/>
      <w:jc w:val="both"/>
    </w:pPr>
    <w:rPr>
      <w:szCs w:val="24"/>
    </w:rPr>
  </w:style>
  <w:style w:type="paragraph" w:styleId="ListParagraph">
    <w:name w:val="List Paragraph"/>
    <w:basedOn w:val="Normal"/>
    <w:uiPriority w:val="34"/>
    <w:qFormat/>
    <w:rsid w:val="00772BB8"/>
    <w:pPr>
      <w:ind w:left="720"/>
      <w:contextualSpacing/>
      <w:jc w:val="both"/>
    </w:pPr>
    <w:rPr>
      <w:rFonts w:eastAsia="Times New Roman" w:cs="Times New Roman"/>
      <w:szCs w:val="20"/>
    </w:rPr>
  </w:style>
  <w:style w:type="character" w:customStyle="1" w:styleId="Heading1Char">
    <w:name w:val="Heading 1 Char"/>
    <w:basedOn w:val="DefaultParagraphFont"/>
    <w:link w:val="Heading1"/>
    <w:rsid w:val="00922521"/>
    <w:rPr>
      <w:rFonts w:eastAsia="Times New Roman" w:cs="Times New Roman"/>
      <w:sz w:val="48"/>
      <w:szCs w:val="20"/>
    </w:rPr>
  </w:style>
  <w:style w:type="paragraph" w:customStyle="1" w:styleId="FARDEAR">
    <w:name w:val="FARDEAR"/>
    <w:basedOn w:val="Normal"/>
    <w:rsid w:val="00144784"/>
    <w:pPr>
      <w:spacing w:after="60"/>
    </w:pPr>
    <w:rPr>
      <w:rFonts w:eastAsia="Times New Roman" w:cs="Times New Roman"/>
      <w:sz w:val="20"/>
      <w:szCs w:val="20"/>
    </w:rPr>
  </w:style>
  <w:style w:type="paragraph" w:customStyle="1" w:styleId="ClauseTitle">
    <w:name w:val="Clause Title"/>
    <w:basedOn w:val="Normal"/>
    <w:rsid w:val="00481001"/>
    <w:pPr>
      <w:keepNext/>
      <w:spacing w:before="120" w:after="60"/>
      <w:jc w:val="both"/>
    </w:pPr>
    <w:rPr>
      <w:rFonts w:eastAsia="Times New Roman" w:cs="Times New Roman"/>
      <w:b/>
      <w:caps/>
      <w:sz w:val="20"/>
      <w:szCs w:val="20"/>
    </w:rPr>
  </w:style>
  <w:style w:type="paragraph" w:styleId="BlockText">
    <w:name w:val="Block Text"/>
    <w:basedOn w:val="Normal"/>
    <w:rsid w:val="001E69B5"/>
    <w:pPr>
      <w:ind w:left="990" w:right="360"/>
    </w:pPr>
    <w:rPr>
      <w:rFonts w:ascii="Arial" w:eastAsia="Times New Roman" w:hAnsi="Arial" w:cs="Times New Roman"/>
      <w:sz w:val="20"/>
      <w:szCs w:val="20"/>
    </w:rPr>
  </w:style>
  <w:style w:type="character" w:styleId="UnresolvedMention">
    <w:name w:val="Unresolved Mention"/>
    <w:basedOn w:val="DefaultParagraphFont"/>
    <w:uiPriority w:val="99"/>
    <w:semiHidden/>
    <w:unhideWhenUsed/>
    <w:rsid w:val="00941C35"/>
    <w:rPr>
      <w:color w:val="605E5C"/>
      <w:shd w:val="clear" w:color="auto" w:fill="E1DFDD"/>
    </w:rPr>
  </w:style>
  <w:style w:type="paragraph" w:customStyle="1" w:styleId="ATextChar">
    <w:name w:val="A. Text Char"/>
    <w:basedOn w:val="Normal"/>
    <w:link w:val="ATextCharChar"/>
    <w:rsid w:val="00C833EF"/>
    <w:pPr>
      <w:ind w:left="720" w:hanging="720"/>
      <w:jc w:val="both"/>
    </w:pPr>
    <w:rPr>
      <w:rFonts w:eastAsia="Times New Roman" w:cs="Times New Roman"/>
      <w:szCs w:val="20"/>
    </w:rPr>
  </w:style>
  <w:style w:type="character" w:customStyle="1" w:styleId="ATextCharChar">
    <w:name w:val="A. Text Char Char"/>
    <w:basedOn w:val="DefaultParagraphFont"/>
    <w:link w:val="ATextChar"/>
    <w:rsid w:val="00C833EF"/>
    <w:rPr>
      <w:rFonts w:eastAsia="Times New Roman" w:cs="Times New Roman"/>
      <w:szCs w:val="20"/>
    </w:rPr>
  </w:style>
  <w:style w:type="paragraph" w:customStyle="1" w:styleId="1">
    <w:name w:val="1."/>
    <w:basedOn w:val="Normal"/>
    <w:rsid w:val="004020B2"/>
    <w:pPr>
      <w:ind w:left="1440" w:hanging="720"/>
      <w:jc w:val="both"/>
    </w:pPr>
    <w:rPr>
      <w:rFonts w:eastAsia="Times New Roman" w:cs="Times New Roman"/>
      <w:szCs w:val="20"/>
    </w:rPr>
  </w:style>
  <w:style w:type="paragraph" w:customStyle="1" w:styleId="A">
    <w:name w:val="A."/>
    <w:basedOn w:val="Normal"/>
    <w:rsid w:val="004020B2"/>
    <w:pPr>
      <w:keepNext/>
      <w:ind w:left="720" w:hanging="720"/>
      <w:jc w:val="both"/>
    </w:pPr>
    <w:rPr>
      <w:rFonts w:eastAsia="Times New Roman" w:cs="Times New Roman"/>
      <w:szCs w:val="20"/>
    </w:rPr>
  </w:style>
  <w:style w:type="paragraph" w:customStyle="1" w:styleId="Table12Point">
    <w:name w:val="Table 12 Point"/>
    <w:basedOn w:val="Normal"/>
    <w:link w:val="Table12PointChar"/>
    <w:rsid w:val="00137477"/>
    <w:rPr>
      <w:rFonts w:eastAsia="Times New Roman" w:cs="Times New Roman"/>
      <w:szCs w:val="24"/>
    </w:rPr>
  </w:style>
  <w:style w:type="character" w:customStyle="1" w:styleId="Table12PointChar">
    <w:name w:val="Table 12 Point Char"/>
    <w:basedOn w:val="DefaultParagraphFont"/>
    <w:link w:val="Table12Point"/>
    <w:rsid w:val="00137477"/>
    <w:rPr>
      <w:rFonts w:eastAsia="Times New Roman" w:cs="Times New Roman"/>
      <w:szCs w:val="24"/>
    </w:rPr>
  </w:style>
  <w:style w:type="paragraph" w:customStyle="1" w:styleId="AText">
    <w:name w:val="A. Text"/>
    <w:basedOn w:val="Normal"/>
    <w:rsid w:val="008B3B16"/>
    <w:pPr>
      <w:ind w:left="720" w:hanging="720"/>
      <w:jc w:val="both"/>
    </w:pPr>
    <w:rPr>
      <w:rFonts w:eastAsia="Times New Roman" w:cs="Times New Roman"/>
      <w:szCs w:val="20"/>
    </w:rPr>
  </w:style>
  <w:style w:type="paragraph" w:customStyle="1" w:styleId="Default">
    <w:name w:val="Default"/>
    <w:rsid w:val="008B3B16"/>
    <w:pPr>
      <w:autoSpaceDE w:val="0"/>
      <w:autoSpaceDN w:val="0"/>
      <w:adjustRightInd w:val="0"/>
      <w:spacing w:after="0" w:line="240" w:lineRule="auto"/>
    </w:pPr>
    <w:rPr>
      <w:rFonts w:cs="Times New Roman"/>
      <w:color w:val="000000"/>
      <w:szCs w:val="24"/>
    </w:rPr>
  </w:style>
  <w:style w:type="character" w:styleId="CommentReference">
    <w:name w:val="annotation reference"/>
    <w:basedOn w:val="DefaultParagraphFont"/>
    <w:uiPriority w:val="99"/>
    <w:semiHidden/>
    <w:unhideWhenUsed/>
    <w:rsid w:val="00E9175C"/>
    <w:rPr>
      <w:sz w:val="16"/>
      <w:szCs w:val="16"/>
    </w:rPr>
  </w:style>
  <w:style w:type="paragraph" w:styleId="CommentText">
    <w:name w:val="annotation text"/>
    <w:basedOn w:val="Normal"/>
    <w:link w:val="CommentTextChar"/>
    <w:uiPriority w:val="99"/>
    <w:semiHidden/>
    <w:unhideWhenUsed/>
    <w:rsid w:val="00E9175C"/>
    <w:rPr>
      <w:sz w:val="20"/>
      <w:szCs w:val="20"/>
    </w:rPr>
  </w:style>
  <w:style w:type="character" w:customStyle="1" w:styleId="CommentTextChar">
    <w:name w:val="Comment Text Char"/>
    <w:basedOn w:val="DefaultParagraphFont"/>
    <w:link w:val="CommentText"/>
    <w:uiPriority w:val="99"/>
    <w:semiHidden/>
    <w:rsid w:val="00E9175C"/>
    <w:rPr>
      <w:sz w:val="20"/>
      <w:szCs w:val="20"/>
    </w:rPr>
  </w:style>
  <w:style w:type="paragraph" w:styleId="CommentSubject">
    <w:name w:val="annotation subject"/>
    <w:basedOn w:val="CommentText"/>
    <w:next w:val="CommentText"/>
    <w:link w:val="CommentSubjectChar"/>
    <w:uiPriority w:val="99"/>
    <w:semiHidden/>
    <w:unhideWhenUsed/>
    <w:rsid w:val="00E9175C"/>
    <w:rPr>
      <w:b/>
      <w:bCs/>
    </w:rPr>
  </w:style>
  <w:style w:type="character" w:customStyle="1" w:styleId="CommentSubjectChar">
    <w:name w:val="Comment Subject Char"/>
    <w:basedOn w:val="CommentTextChar"/>
    <w:link w:val="CommentSubject"/>
    <w:uiPriority w:val="99"/>
    <w:semiHidden/>
    <w:rsid w:val="00E917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897315">
      <w:bodyDiv w:val="1"/>
      <w:marLeft w:val="0"/>
      <w:marRight w:val="0"/>
      <w:marTop w:val="0"/>
      <w:marBottom w:val="0"/>
      <w:divBdr>
        <w:top w:val="none" w:sz="0" w:space="0" w:color="auto"/>
        <w:left w:val="none" w:sz="0" w:space="0" w:color="auto"/>
        <w:bottom w:val="none" w:sz="0" w:space="0" w:color="auto"/>
        <w:right w:val="none" w:sz="0" w:space="0" w:color="auto"/>
      </w:divBdr>
    </w:div>
    <w:div w:id="1609317373">
      <w:bodyDiv w:val="1"/>
      <w:marLeft w:val="0"/>
      <w:marRight w:val="0"/>
      <w:marTop w:val="0"/>
      <w:marBottom w:val="0"/>
      <w:divBdr>
        <w:top w:val="none" w:sz="0" w:space="0" w:color="auto"/>
        <w:left w:val="none" w:sz="0" w:space="0" w:color="auto"/>
        <w:bottom w:val="none" w:sz="0" w:space="0" w:color="auto"/>
        <w:right w:val="none" w:sz="0" w:space="0" w:color="auto"/>
      </w:divBdr>
    </w:div>
    <w:div w:id="202416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hyperlink" Target="mailto:ward31@llnl.gov"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vipir.llnl.gov/vipi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ward31@llnl.gov" TargetMode="External"/><Relationship Id="rId20" Type="http://schemas.openxmlformats.org/officeDocument/2006/relationships/hyperlink" Target="mailto:ward31@llnl.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upplychain.llnl.gov/" TargetMode="External"/><Relationship Id="rId23" Type="http://schemas.openxmlformats.org/officeDocument/2006/relationships/footer" Target="footer4.xml"/><Relationship Id="rId10" Type="http://schemas.openxmlformats.org/officeDocument/2006/relationships/hyperlink" Target="http://www.data.gov" TargetMode="External"/><Relationship Id="rId19" Type="http://schemas.openxmlformats.org/officeDocument/2006/relationships/hyperlink" Target="mailto:ward31@llnl.gov" TargetMode="External"/><Relationship Id="rId4" Type="http://schemas.openxmlformats.org/officeDocument/2006/relationships/settings" Target="settings.xml"/><Relationship Id="rId9" Type="http://schemas.openxmlformats.org/officeDocument/2006/relationships/hyperlink" Target="mailto:ward31@llnl.gov" TargetMode="External"/><Relationship Id="rId14" Type="http://schemas.openxmlformats.org/officeDocument/2006/relationships/footer" Target="footer2.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839E0-239C-45D6-9FEE-543CECB80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5649</Words>
  <Characters>32202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Subcontract - FP-FPLE Complex Goods, Fabs, Services Merge</vt:lpstr>
    </vt:vector>
  </TitlesOfParts>
  <Company>LLNL</Company>
  <LinksUpToDate>false</LinksUpToDate>
  <CharactersWithSpaces>37776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Subcontract - FP-FPLE Complex Goods, Fabs, Services Merge</dc:title>
  <dc:creator>Moffet, Julie D.</dc:creator>
  <cp:lastModifiedBy>Ward, Gary M.</cp:lastModifiedBy>
  <cp:revision>12</cp:revision>
  <cp:lastPrinted>2014-05-14T22:16:00Z</cp:lastPrinted>
  <dcterms:created xsi:type="dcterms:W3CDTF">2021-08-31T13:38:00Z</dcterms:created>
  <dcterms:modified xsi:type="dcterms:W3CDTF">2021-09-13T16:34:00Z</dcterms:modified>
</cp:coreProperties>
</file>