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5B863" w14:textId="77777777" w:rsidR="00F00B05" w:rsidRDefault="00F00B05" w:rsidP="00DF31EA">
      <w:pPr>
        <w:jc w:val="center"/>
        <w:rPr>
          <w:rFonts w:asciiTheme="minorHAnsi" w:hAnsiTheme="minorHAnsi" w:cstheme="minorHAnsi"/>
          <w:b/>
          <w:sz w:val="32"/>
          <w:szCs w:val="32"/>
        </w:rPr>
      </w:pPr>
    </w:p>
    <w:p w14:paraId="1B4B83DE" w14:textId="3375A08D" w:rsidR="008253A3" w:rsidRPr="000943F0" w:rsidRDefault="00293BC6" w:rsidP="00DF31EA">
      <w:pPr>
        <w:jc w:val="center"/>
        <w:rPr>
          <w:rFonts w:asciiTheme="minorHAnsi" w:hAnsiTheme="minorHAnsi" w:cstheme="minorHAnsi"/>
          <w:b/>
          <w:sz w:val="36"/>
          <w:szCs w:val="36"/>
        </w:rPr>
      </w:pPr>
      <w:r w:rsidRPr="000943F0">
        <w:rPr>
          <w:rFonts w:asciiTheme="minorHAnsi" w:hAnsiTheme="minorHAnsi" w:cstheme="minorHAnsi"/>
          <w:b/>
          <w:sz w:val="36"/>
          <w:szCs w:val="36"/>
        </w:rPr>
        <w:t xml:space="preserve">CTS-2 </w:t>
      </w:r>
      <w:r w:rsidR="00DF31EA" w:rsidRPr="000943F0">
        <w:rPr>
          <w:rFonts w:asciiTheme="minorHAnsi" w:hAnsiTheme="minorHAnsi" w:cstheme="minorHAnsi"/>
          <w:b/>
          <w:sz w:val="36"/>
          <w:szCs w:val="36"/>
        </w:rPr>
        <w:t xml:space="preserve">OFFEROR </w:t>
      </w:r>
      <w:r w:rsidR="00CD3572" w:rsidRPr="000943F0">
        <w:rPr>
          <w:rFonts w:asciiTheme="minorHAnsi" w:hAnsiTheme="minorHAnsi" w:cstheme="minorHAnsi"/>
          <w:b/>
          <w:sz w:val="36"/>
          <w:szCs w:val="36"/>
        </w:rPr>
        <w:t>PRICE ADJUSTMENT</w:t>
      </w:r>
      <w:r w:rsidRPr="000943F0">
        <w:rPr>
          <w:rFonts w:asciiTheme="minorHAnsi" w:hAnsiTheme="minorHAnsi" w:cstheme="minorHAnsi"/>
          <w:b/>
          <w:sz w:val="36"/>
          <w:szCs w:val="36"/>
        </w:rPr>
        <w:t xml:space="preserve"> POSITION</w:t>
      </w:r>
    </w:p>
    <w:p w14:paraId="3B0EA335" w14:textId="4ACDF279" w:rsidR="00DF31EA" w:rsidRDefault="00DF31EA" w:rsidP="006440C6">
      <w:pPr>
        <w:jc w:val="both"/>
        <w:rPr>
          <w:rFonts w:asciiTheme="minorHAnsi" w:hAnsiTheme="minorHAnsi" w:cstheme="minorHAnsi"/>
          <w:szCs w:val="24"/>
        </w:rPr>
      </w:pPr>
    </w:p>
    <w:p w14:paraId="19FDC88B" w14:textId="2EC520F6" w:rsidR="00AC534B" w:rsidRDefault="00293BC6" w:rsidP="00CD3572">
      <w:pPr>
        <w:jc w:val="both"/>
        <w:rPr>
          <w:rFonts w:asciiTheme="minorHAnsi" w:hAnsiTheme="minorHAnsi" w:cstheme="minorHAnsi"/>
          <w:szCs w:val="24"/>
        </w:rPr>
      </w:pPr>
      <w:r>
        <w:rPr>
          <w:rFonts w:asciiTheme="minorHAnsi" w:hAnsiTheme="minorHAnsi" w:cstheme="minorHAnsi"/>
          <w:szCs w:val="24"/>
        </w:rPr>
        <w:t xml:space="preserve">The purpose of this form is </w:t>
      </w:r>
      <w:r w:rsidR="0040360C">
        <w:rPr>
          <w:rFonts w:asciiTheme="minorHAnsi" w:hAnsiTheme="minorHAnsi" w:cstheme="minorHAnsi"/>
          <w:szCs w:val="24"/>
        </w:rPr>
        <w:t xml:space="preserve">for an Offeror to </w:t>
      </w:r>
      <w:r w:rsidR="00C208B7">
        <w:rPr>
          <w:rFonts w:asciiTheme="minorHAnsi" w:hAnsiTheme="minorHAnsi" w:cstheme="minorHAnsi"/>
          <w:szCs w:val="24"/>
        </w:rPr>
        <w:t>notify the Tri-Laboratory of its</w:t>
      </w:r>
      <w:r w:rsidR="0040360C">
        <w:rPr>
          <w:rFonts w:asciiTheme="minorHAnsi" w:hAnsiTheme="minorHAnsi" w:cstheme="minorHAnsi"/>
          <w:szCs w:val="24"/>
        </w:rPr>
        <w:t xml:space="preserve"> proposed position relative to the Sample Subcontract’s Price Adjustment article.  Below are excerpts from that article.  Offeror </w:t>
      </w:r>
      <w:r w:rsidR="00B91AAD">
        <w:rPr>
          <w:rFonts w:asciiTheme="minorHAnsi" w:hAnsiTheme="minorHAnsi" w:cstheme="minorHAnsi"/>
          <w:szCs w:val="24"/>
        </w:rPr>
        <w:t>will</w:t>
      </w:r>
      <w:r w:rsidR="0040360C">
        <w:rPr>
          <w:rFonts w:asciiTheme="minorHAnsi" w:hAnsiTheme="minorHAnsi" w:cstheme="minorHAnsi"/>
          <w:szCs w:val="24"/>
        </w:rPr>
        <w:t xml:space="preserve"> insert its proposed terms </w:t>
      </w:r>
      <w:r w:rsidR="00B91AAD">
        <w:rPr>
          <w:rFonts w:asciiTheme="minorHAnsi" w:hAnsiTheme="minorHAnsi" w:cstheme="minorHAnsi"/>
          <w:szCs w:val="24"/>
        </w:rPr>
        <w:t xml:space="preserve">/ </w:t>
      </w:r>
      <w:r w:rsidR="009D3969">
        <w:rPr>
          <w:rFonts w:asciiTheme="minorHAnsi" w:hAnsiTheme="minorHAnsi" w:cstheme="minorHAnsi"/>
          <w:szCs w:val="24"/>
        </w:rPr>
        <w:t>position</w:t>
      </w:r>
      <w:r w:rsidR="00B91AAD">
        <w:rPr>
          <w:rFonts w:asciiTheme="minorHAnsi" w:hAnsiTheme="minorHAnsi" w:cstheme="minorHAnsi"/>
          <w:szCs w:val="24"/>
        </w:rPr>
        <w:t xml:space="preserve"> </w:t>
      </w:r>
      <w:r w:rsidR="0040360C">
        <w:rPr>
          <w:rFonts w:asciiTheme="minorHAnsi" w:hAnsiTheme="minorHAnsi" w:cstheme="minorHAnsi"/>
          <w:szCs w:val="24"/>
        </w:rPr>
        <w:t>where indicated below</w:t>
      </w:r>
      <w:r w:rsidR="00B91AAD">
        <w:rPr>
          <w:rFonts w:asciiTheme="minorHAnsi" w:hAnsiTheme="minorHAnsi" w:cstheme="minorHAnsi"/>
          <w:szCs w:val="24"/>
        </w:rPr>
        <w:t>. Offeror will</w:t>
      </w:r>
      <w:r w:rsidR="0040360C">
        <w:rPr>
          <w:rFonts w:asciiTheme="minorHAnsi" w:hAnsiTheme="minorHAnsi" w:cstheme="minorHAnsi"/>
          <w:szCs w:val="24"/>
        </w:rPr>
        <w:t xml:space="preserve"> include the completed form in its proposal submission.</w:t>
      </w:r>
    </w:p>
    <w:p w14:paraId="16D14AF2" w14:textId="7634F496" w:rsidR="0040360C" w:rsidRDefault="0040360C" w:rsidP="00CD3572">
      <w:pPr>
        <w:jc w:val="both"/>
        <w:rPr>
          <w:rFonts w:asciiTheme="minorHAnsi" w:hAnsiTheme="minorHAnsi" w:cstheme="minorHAnsi"/>
          <w:szCs w:val="24"/>
        </w:rPr>
      </w:pPr>
    </w:p>
    <w:p w14:paraId="79B03406" w14:textId="1E05F06B" w:rsidR="0040360C" w:rsidRPr="000943F0" w:rsidRDefault="00674672" w:rsidP="00CD3572">
      <w:pPr>
        <w:jc w:val="both"/>
        <w:rPr>
          <w:rFonts w:asciiTheme="minorHAnsi" w:hAnsiTheme="minorHAnsi" w:cstheme="minorHAnsi"/>
          <w:b/>
          <w:bCs/>
          <w:i/>
          <w:iCs/>
          <w:sz w:val="28"/>
          <w:szCs w:val="28"/>
        </w:rPr>
      </w:pPr>
      <w:r w:rsidRPr="000943F0">
        <w:rPr>
          <w:rFonts w:asciiTheme="minorHAnsi" w:hAnsiTheme="minorHAnsi" w:cstheme="minorHAnsi"/>
          <w:b/>
          <w:bCs/>
          <w:i/>
          <w:iCs/>
          <w:sz w:val="28"/>
          <w:szCs w:val="28"/>
        </w:rPr>
        <w:t>TOPIC 1</w:t>
      </w:r>
    </w:p>
    <w:p w14:paraId="64E4E8AC" w14:textId="3CBF0A57" w:rsidR="00674672" w:rsidRDefault="00674672" w:rsidP="00CD3572">
      <w:pPr>
        <w:jc w:val="both"/>
        <w:rPr>
          <w:rFonts w:asciiTheme="minorHAnsi" w:hAnsiTheme="minorHAnsi" w:cstheme="minorHAnsi"/>
          <w:szCs w:val="24"/>
        </w:rPr>
      </w:pPr>
    </w:p>
    <w:p w14:paraId="07FC8F1D" w14:textId="08C03D67" w:rsidR="00674672" w:rsidRDefault="00674672" w:rsidP="00CD3572">
      <w:pPr>
        <w:jc w:val="both"/>
        <w:rPr>
          <w:rFonts w:asciiTheme="minorHAnsi" w:hAnsiTheme="minorHAnsi" w:cstheme="minorHAnsi"/>
          <w:szCs w:val="24"/>
        </w:rPr>
      </w:pPr>
      <w:r>
        <w:rPr>
          <w:rFonts w:asciiTheme="minorHAnsi" w:hAnsiTheme="minorHAnsi" w:cstheme="minorHAnsi"/>
          <w:szCs w:val="24"/>
        </w:rPr>
        <w:t>Does the Offeror desire price adjustment terms in the Subcontract? (circle the answer)</w:t>
      </w:r>
    </w:p>
    <w:p w14:paraId="1300CD05" w14:textId="20C603F9" w:rsidR="00674672" w:rsidRDefault="00674672" w:rsidP="00CD3572">
      <w:pPr>
        <w:jc w:val="both"/>
        <w:rPr>
          <w:rFonts w:asciiTheme="minorHAnsi" w:hAnsiTheme="minorHAnsi" w:cstheme="minorHAnsi"/>
          <w:szCs w:val="24"/>
        </w:rPr>
      </w:pPr>
    </w:p>
    <w:p w14:paraId="6793220D" w14:textId="0F797AE6" w:rsidR="00674672" w:rsidRPr="001500A0" w:rsidRDefault="00674672" w:rsidP="00CD3572">
      <w:pPr>
        <w:jc w:val="both"/>
        <w:rPr>
          <w:rFonts w:asciiTheme="minorHAnsi" w:hAnsiTheme="minorHAnsi" w:cstheme="minorHAnsi"/>
          <w:szCs w:val="24"/>
        </w:rPr>
      </w:pPr>
      <w:r w:rsidRPr="001500A0">
        <w:rPr>
          <w:rFonts w:asciiTheme="minorHAnsi" w:hAnsiTheme="minorHAnsi" w:cstheme="minorHAnsi"/>
          <w:szCs w:val="24"/>
        </w:rPr>
        <w:t>YES</w:t>
      </w:r>
      <w:r w:rsidRPr="001500A0">
        <w:rPr>
          <w:rFonts w:asciiTheme="minorHAnsi" w:hAnsiTheme="minorHAnsi" w:cstheme="minorHAnsi"/>
          <w:szCs w:val="24"/>
        </w:rPr>
        <w:tab/>
        <w:t>NO</w:t>
      </w:r>
    </w:p>
    <w:p w14:paraId="6E33D5E5" w14:textId="1F568D42" w:rsidR="0040360C" w:rsidRDefault="0040360C" w:rsidP="00CD3572">
      <w:pPr>
        <w:jc w:val="both"/>
        <w:rPr>
          <w:rFonts w:asciiTheme="minorHAnsi" w:hAnsiTheme="minorHAnsi" w:cstheme="minorHAnsi"/>
          <w:szCs w:val="24"/>
        </w:rPr>
      </w:pPr>
    </w:p>
    <w:p w14:paraId="5675D8C5" w14:textId="2F7E4AB4" w:rsidR="001500A0" w:rsidRDefault="006459EF" w:rsidP="00CD3572">
      <w:pPr>
        <w:jc w:val="both"/>
        <w:rPr>
          <w:rFonts w:asciiTheme="minorHAnsi" w:hAnsiTheme="minorHAnsi" w:cstheme="minorHAnsi"/>
          <w:szCs w:val="24"/>
        </w:rPr>
      </w:pPr>
      <w:r>
        <w:rPr>
          <w:rFonts w:asciiTheme="minorHAnsi" w:hAnsiTheme="minorHAnsi" w:cstheme="minorHAnsi"/>
          <w:szCs w:val="24"/>
        </w:rPr>
        <w:t xml:space="preserve">If Offeror’s answer to Topic 1 is YES, then </w:t>
      </w:r>
      <w:r w:rsidR="00F67699">
        <w:rPr>
          <w:rFonts w:asciiTheme="minorHAnsi" w:hAnsiTheme="minorHAnsi" w:cstheme="minorHAnsi"/>
          <w:szCs w:val="24"/>
        </w:rPr>
        <w:t xml:space="preserve">address/ </w:t>
      </w:r>
      <w:r>
        <w:rPr>
          <w:rFonts w:asciiTheme="minorHAnsi" w:hAnsiTheme="minorHAnsi" w:cstheme="minorHAnsi"/>
          <w:szCs w:val="24"/>
        </w:rPr>
        <w:t>complete the following topics.</w:t>
      </w:r>
    </w:p>
    <w:p w14:paraId="6D75D79D" w14:textId="77777777" w:rsidR="006459EF" w:rsidRDefault="006459EF" w:rsidP="00CD3572">
      <w:pPr>
        <w:jc w:val="both"/>
        <w:rPr>
          <w:rFonts w:asciiTheme="minorHAnsi" w:hAnsiTheme="minorHAnsi" w:cstheme="minorHAnsi"/>
          <w:szCs w:val="24"/>
        </w:rPr>
      </w:pPr>
    </w:p>
    <w:p w14:paraId="37459E70" w14:textId="04958D59" w:rsidR="0040360C" w:rsidRPr="000943F0" w:rsidRDefault="000943F0" w:rsidP="00CD3572">
      <w:pPr>
        <w:jc w:val="both"/>
        <w:rPr>
          <w:rFonts w:asciiTheme="minorHAnsi" w:hAnsiTheme="minorHAnsi" w:cstheme="minorHAnsi"/>
          <w:b/>
          <w:bCs/>
          <w:i/>
          <w:iCs/>
          <w:sz w:val="28"/>
          <w:szCs w:val="28"/>
        </w:rPr>
      </w:pPr>
      <w:r w:rsidRPr="000943F0">
        <w:rPr>
          <w:rFonts w:asciiTheme="minorHAnsi" w:hAnsiTheme="minorHAnsi" w:cstheme="minorHAnsi"/>
          <w:b/>
          <w:bCs/>
          <w:i/>
          <w:iCs/>
          <w:sz w:val="28"/>
          <w:szCs w:val="28"/>
        </w:rPr>
        <w:t>TOPIC 2</w:t>
      </w:r>
    </w:p>
    <w:p w14:paraId="785C45A7" w14:textId="4DBE9760" w:rsidR="000943F0" w:rsidRDefault="000943F0" w:rsidP="00CD3572">
      <w:pPr>
        <w:jc w:val="both"/>
        <w:rPr>
          <w:rFonts w:asciiTheme="minorHAnsi" w:hAnsiTheme="minorHAnsi" w:cstheme="minorHAnsi"/>
          <w:szCs w:val="24"/>
        </w:rPr>
      </w:pPr>
    </w:p>
    <w:p w14:paraId="23C2146B" w14:textId="67B7B2E1" w:rsidR="006459EF" w:rsidRPr="00B94FB9" w:rsidRDefault="009E4005" w:rsidP="00CD3572">
      <w:pPr>
        <w:jc w:val="both"/>
        <w:rPr>
          <w:rFonts w:asciiTheme="minorHAnsi" w:hAnsiTheme="minorHAnsi" w:cstheme="minorHAnsi"/>
          <w:iCs/>
          <w:szCs w:val="24"/>
        </w:rPr>
      </w:pPr>
      <w:r>
        <w:rPr>
          <w:rFonts w:asciiTheme="minorHAnsi" w:hAnsiTheme="minorHAnsi" w:cstheme="minorHAnsi"/>
          <w:szCs w:val="24"/>
        </w:rPr>
        <w:t xml:space="preserve">Below </w:t>
      </w:r>
      <w:r w:rsidR="006459EF" w:rsidRPr="00B94FB9">
        <w:rPr>
          <w:rFonts w:asciiTheme="minorHAnsi" w:hAnsiTheme="minorHAnsi" w:cstheme="minorHAnsi"/>
          <w:szCs w:val="24"/>
        </w:rPr>
        <w:t>Offeror</w:t>
      </w:r>
      <w:r w:rsidR="00F67699" w:rsidRPr="00B94FB9">
        <w:rPr>
          <w:rFonts w:asciiTheme="minorHAnsi" w:hAnsiTheme="minorHAnsi" w:cstheme="minorHAnsi"/>
          <w:szCs w:val="24"/>
        </w:rPr>
        <w:t xml:space="preserve"> </w:t>
      </w:r>
      <w:r w:rsidR="00B94FB9" w:rsidRPr="00B94FB9">
        <w:rPr>
          <w:rFonts w:asciiTheme="minorHAnsi" w:hAnsiTheme="minorHAnsi" w:cstheme="minorHAnsi"/>
          <w:szCs w:val="24"/>
        </w:rPr>
        <w:t>will</w:t>
      </w:r>
      <w:r w:rsidR="00F67699" w:rsidRPr="00B94FB9">
        <w:rPr>
          <w:rFonts w:asciiTheme="minorHAnsi" w:hAnsiTheme="minorHAnsi" w:cstheme="minorHAnsi"/>
          <w:szCs w:val="24"/>
        </w:rPr>
        <w:t xml:space="preserve"> insert </w:t>
      </w:r>
      <w:r w:rsidR="006459EF" w:rsidRPr="00B94FB9">
        <w:rPr>
          <w:rFonts w:asciiTheme="minorHAnsi" w:hAnsiTheme="minorHAnsi" w:cstheme="minorHAnsi"/>
          <w:szCs w:val="24"/>
        </w:rPr>
        <w:t>proposed Specific Key Components (SKCs) it desires subject to price risk sharing</w:t>
      </w:r>
      <w:r w:rsidR="00F67699" w:rsidRPr="00B94FB9">
        <w:rPr>
          <w:rFonts w:asciiTheme="minorHAnsi" w:hAnsiTheme="minorHAnsi" w:cstheme="minorHAnsi"/>
          <w:szCs w:val="24"/>
        </w:rPr>
        <w:t xml:space="preserve"> consideration</w:t>
      </w:r>
      <w:r w:rsidR="006459EF" w:rsidRPr="00B94FB9">
        <w:rPr>
          <w:rFonts w:asciiTheme="minorHAnsi" w:hAnsiTheme="minorHAnsi" w:cstheme="minorHAnsi"/>
          <w:szCs w:val="24"/>
        </w:rPr>
        <w:t xml:space="preserve">, and the corresponding </w:t>
      </w:r>
      <w:r w:rsidR="00F67699" w:rsidRPr="00B94FB9">
        <w:rPr>
          <w:rFonts w:asciiTheme="minorHAnsi" w:hAnsiTheme="minorHAnsi" w:cstheme="minorHAnsi"/>
          <w:szCs w:val="24"/>
        </w:rPr>
        <w:t xml:space="preserve">SKC </w:t>
      </w:r>
      <w:r w:rsidR="006459EF" w:rsidRPr="00B94FB9">
        <w:rPr>
          <w:rFonts w:asciiTheme="minorHAnsi" w:hAnsiTheme="minorHAnsi" w:cstheme="minorHAnsi"/>
          <w:szCs w:val="24"/>
        </w:rPr>
        <w:t>unit price</w:t>
      </w:r>
      <w:r w:rsidR="00F67699" w:rsidRPr="00B94FB9">
        <w:rPr>
          <w:rFonts w:asciiTheme="minorHAnsi" w:hAnsiTheme="minorHAnsi" w:cstheme="minorHAnsi"/>
          <w:szCs w:val="24"/>
        </w:rPr>
        <w:t>s</w:t>
      </w:r>
      <w:r w:rsidR="006459EF" w:rsidRPr="00B94FB9">
        <w:rPr>
          <w:rFonts w:asciiTheme="minorHAnsi" w:hAnsiTheme="minorHAnsi" w:cstheme="minorHAnsi"/>
          <w:szCs w:val="24"/>
        </w:rPr>
        <w:t xml:space="preserve"> upon which the Offeror’s SU / system price</w:t>
      </w:r>
      <w:r w:rsidR="00B94FB9" w:rsidRPr="00B94FB9">
        <w:rPr>
          <w:rFonts w:asciiTheme="minorHAnsi" w:hAnsiTheme="minorHAnsi" w:cstheme="minorHAnsi"/>
          <w:szCs w:val="24"/>
        </w:rPr>
        <w:t>(s)</w:t>
      </w:r>
      <w:r w:rsidR="006459EF" w:rsidRPr="00B94FB9">
        <w:rPr>
          <w:rFonts w:asciiTheme="minorHAnsi" w:hAnsiTheme="minorHAnsi" w:cstheme="minorHAnsi"/>
          <w:szCs w:val="24"/>
        </w:rPr>
        <w:t xml:space="preserve"> </w:t>
      </w:r>
      <w:r w:rsidR="00B94FB9" w:rsidRPr="00B94FB9">
        <w:rPr>
          <w:rFonts w:asciiTheme="minorHAnsi" w:hAnsiTheme="minorHAnsi" w:cstheme="minorHAnsi"/>
          <w:szCs w:val="24"/>
        </w:rPr>
        <w:t>are</w:t>
      </w:r>
      <w:r w:rsidR="006459EF" w:rsidRPr="00B94FB9">
        <w:rPr>
          <w:rFonts w:asciiTheme="minorHAnsi" w:hAnsiTheme="minorHAnsi" w:cstheme="minorHAnsi"/>
          <w:szCs w:val="24"/>
        </w:rPr>
        <w:t xml:space="preserve"> based</w:t>
      </w:r>
      <w:r w:rsidR="00085F31">
        <w:rPr>
          <w:rFonts w:asciiTheme="minorHAnsi" w:hAnsiTheme="minorHAnsi" w:cstheme="minorHAnsi"/>
          <w:szCs w:val="24"/>
        </w:rPr>
        <w:t>,</w:t>
      </w:r>
      <w:r w:rsidR="00F67699" w:rsidRPr="00B94FB9">
        <w:rPr>
          <w:rFonts w:asciiTheme="minorHAnsi" w:hAnsiTheme="minorHAnsi" w:cstheme="minorHAnsi"/>
          <w:szCs w:val="24"/>
        </w:rPr>
        <w:t xml:space="preserve"> and identified in Offeror’s </w:t>
      </w:r>
      <w:r w:rsidR="00F67699" w:rsidRPr="00B94FB9">
        <w:rPr>
          <w:rFonts w:asciiTheme="minorHAnsi" w:hAnsiTheme="minorHAnsi" w:cstheme="minorHAnsi"/>
          <w:iCs/>
        </w:rPr>
        <w:t>CTS-2_</w:t>
      </w:r>
      <w:r w:rsidR="00A52455">
        <w:rPr>
          <w:rFonts w:asciiTheme="minorHAnsi" w:hAnsiTheme="minorHAnsi" w:cstheme="minorHAnsi"/>
          <w:iCs/>
        </w:rPr>
        <w:t xml:space="preserve"> </w:t>
      </w:r>
      <w:r w:rsidR="00F67699" w:rsidRPr="00B94FB9">
        <w:rPr>
          <w:rFonts w:asciiTheme="minorHAnsi" w:hAnsiTheme="minorHAnsi" w:cstheme="minorHAnsi"/>
          <w:iCs/>
        </w:rPr>
        <w:t>Price</w:t>
      </w:r>
      <w:r w:rsidR="00A52455">
        <w:rPr>
          <w:rFonts w:asciiTheme="minorHAnsi" w:hAnsiTheme="minorHAnsi" w:cstheme="minorHAnsi"/>
          <w:iCs/>
        </w:rPr>
        <w:t xml:space="preserve"> </w:t>
      </w:r>
      <w:r w:rsidR="00F67699" w:rsidRPr="00B94FB9">
        <w:rPr>
          <w:rFonts w:asciiTheme="minorHAnsi" w:hAnsiTheme="minorHAnsi" w:cstheme="minorHAnsi"/>
          <w:iCs/>
        </w:rPr>
        <w:t>Schedule</w:t>
      </w:r>
      <w:r w:rsidR="00A52455">
        <w:rPr>
          <w:rFonts w:asciiTheme="minorHAnsi" w:hAnsiTheme="minorHAnsi" w:cstheme="minorHAnsi"/>
          <w:iCs/>
        </w:rPr>
        <w:t xml:space="preserve">(s) </w:t>
      </w:r>
      <w:r w:rsidR="00F67699" w:rsidRPr="00B94FB9">
        <w:rPr>
          <w:rFonts w:asciiTheme="minorHAnsi" w:hAnsiTheme="minorHAnsi" w:cstheme="minorHAnsi"/>
          <w:iCs/>
        </w:rPr>
        <w:t>submission.</w:t>
      </w:r>
    </w:p>
    <w:p w14:paraId="21A21A6A" w14:textId="77777777" w:rsidR="006459EF" w:rsidRPr="00F90120" w:rsidRDefault="006459EF" w:rsidP="006459EF">
      <w:pPr>
        <w:pStyle w:val="ListParagraph"/>
        <w:rPr>
          <w:szCs w:val="24"/>
        </w:rPr>
      </w:pPr>
    </w:p>
    <w:p w14:paraId="62DC2787" w14:textId="4D20B6B2" w:rsidR="006459EF" w:rsidRPr="006459EF" w:rsidRDefault="006459EF" w:rsidP="006459EF">
      <w:pPr>
        <w:pStyle w:val="ListParagraph"/>
        <w:numPr>
          <w:ilvl w:val="0"/>
          <w:numId w:val="2"/>
        </w:numPr>
        <w:rPr>
          <w:szCs w:val="24"/>
        </w:rPr>
      </w:pPr>
      <w:r w:rsidRPr="006459EF">
        <w:rPr>
          <w:szCs w:val="24"/>
        </w:rPr>
        <w:t>Equipment options and their corresponding milestone payment amounts are based, in part, on the SKCs and unit prices identified in the following table.</w:t>
      </w:r>
    </w:p>
    <w:p w14:paraId="32E549C6" w14:textId="77777777" w:rsidR="006459EF" w:rsidRPr="003F2AD7" w:rsidRDefault="006459EF" w:rsidP="006459EF">
      <w:pPr>
        <w:pStyle w:val="ListParagraph"/>
        <w:rPr>
          <w:szCs w:val="24"/>
        </w:rPr>
      </w:pPr>
    </w:p>
    <w:tbl>
      <w:tblPr>
        <w:tblStyle w:val="TableGrid"/>
        <w:tblW w:w="0" w:type="auto"/>
        <w:tblInd w:w="1255" w:type="dxa"/>
        <w:tblLook w:val="04A0" w:firstRow="1" w:lastRow="0" w:firstColumn="1" w:lastColumn="0" w:noHBand="0" w:noVBand="1"/>
      </w:tblPr>
      <w:tblGrid>
        <w:gridCol w:w="6154"/>
        <w:gridCol w:w="1221"/>
      </w:tblGrid>
      <w:tr w:rsidR="006459EF" w:rsidRPr="00903CB4" w14:paraId="612F65C7" w14:textId="77777777" w:rsidTr="00796282">
        <w:trPr>
          <w:trHeight w:val="20"/>
          <w:tblHeader/>
        </w:trPr>
        <w:tc>
          <w:tcPr>
            <w:tcW w:w="6570" w:type="dxa"/>
          </w:tcPr>
          <w:p w14:paraId="214C01B4" w14:textId="77777777" w:rsidR="006459EF" w:rsidRPr="00903CB4" w:rsidRDefault="006459EF" w:rsidP="00796282">
            <w:pPr>
              <w:pStyle w:val="ListParagraph"/>
              <w:autoSpaceDE w:val="0"/>
              <w:autoSpaceDN w:val="0"/>
              <w:adjustRightInd w:val="0"/>
              <w:spacing w:after="240"/>
              <w:ind w:left="0"/>
              <w:jc w:val="left"/>
              <w:rPr>
                <w:b/>
                <w:color w:val="000000"/>
                <w:sz w:val="20"/>
              </w:rPr>
            </w:pPr>
            <w:r>
              <w:rPr>
                <w:b/>
                <w:color w:val="000000"/>
                <w:sz w:val="20"/>
              </w:rPr>
              <w:t>Specific Key Components</w:t>
            </w:r>
          </w:p>
        </w:tc>
        <w:tc>
          <w:tcPr>
            <w:tcW w:w="1260" w:type="dxa"/>
          </w:tcPr>
          <w:p w14:paraId="7BEA28E2" w14:textId="77777777" w:rsidR="006459EF" w:rsidRPr="00903CB4" w:rsidRDefault="006459EF" w:rsidP="00796282">
            <w:pPr>
              <w:pStyle w:val="ListParagraph"/>
              <w:autoSpaceDE w:val="0"/>
              <w:autoSpaceDN w:val="0"/>
              <w:adjustRightInd w:val="0"/>
              <w:spacing w:after="240"/>
              <w:ind w:left="0"/>
              <w:jc w:val="left"/>
              <w:rPr>
                <w:b/>
                <w:color w:val="000000"/>
                <w:sz w:val="20"/>
              </w:rPr>
            </w:pPr>
            <w:r>
              <w:rPr>
                <w:b/>
                <w:color w:val="000000"/>
                <w:sz w:val="20"/>
              </w:rPr>
              <w:t>Unit Price</w:t>
            </w:r>
          </w:p>
        </w:tc>
      </w:tr>
      <w:tr w:rsidR="006459EF" w:rsidRPr="00903CB4" w14:paraId="273AF9DB" w14:textId="77777777" w:rsidTr="00796282">
        <w:trPr>
          <w:trHeight w:val="20"/>
        </w:trPr>
        <w:tc>
          <w:tcPr>
            <w:tcW w:w="6570" w:type="dxa"/>
          </w:tcPr>
          <w:p w14:paraId="726070E9" w14:textId="1C082C59" w:rsidR="006459EF" w:rsidRPr="00903CB4" w:rsidRDefault="006459EF" w:rsidP="00796282">
            <w:pPr>
              <w:pStyle w:val="ListParagraph"/>
              <w:autoSpaceDE w:val="0"/>
              <w:autoSpaceDN w:val="0"/>
              <w:adjustRightInd w:val="0"/>
              <w:spacing w:after="240"/>
              <w:ind w:left="0"/>
              <w:rPr>
                <w:color w:val="000000"/>
                <w:sz w:val="20"/>
              </w:rPr>
            </w:pPr>
            <w:r w:rsidRPr="00E74D26">
              <w:rPr>
                <w:color w:val="FF0000"/>
                <w:sz w:val="20"/>
              </w:rPr>
              <w:t>insert SKC descriptio</w:t>
            </w:r>
            <w:r>
              <w:rPr>
                <w:color w:val="FF0000"/>
                <w:sz w:val="20"/>
              </w:rPr>
              <w:t>n / type</w:t>
            </w:r>
          </w:p>
        </w:tc>
        <w:tc>
          <w:tcPr>
            <w:tcW w:w="1260" w:type="dxa"/>
          </w:tcPr>
          <w:p w14:paraId="78D890E1" w14:textId="5A186070" w:rsidR="006459EF" w:rsidRPr="00903CB4" w:rsidRDefault="006459EF" w:rsidP="00796282">
            <w:pPr>
              <w:pStyle w:val="ListParagraph"/>
              <w:autoSpaceDE w:val="0"/>
              <w:autoSpaceDN w:val="0"/>
              <w:adjustRightInd w:val="0"/>
              <w:spacing w:after="240"/>
              <w:ind w:left="0"/>
              <w:rPr>
                <w:color w:val="000000"/>
                <w:sz w:val="20"/>
              </w:rPr>
            </w:pPr>
            <w:r w:rsidRPr="006459EF">
              <w:rPr>
                <w:color w:val="FF0000"/>
                <w:sz w:val="20"/>
              </w:rPr>
              <w:t>$insert unit price</w:t>
            </w:r>
          </w:p>
        </w:tc>
      </w:tr>
      <w:tr w:rsidR="006459EF" w:rsidRPr="00903CB4" w14:paraId="12672F15" w14:textId="77777777" w:rsidTr="00796282">
        <w:trPr>
          <w:trHeight w:val="20"/>
        </w:trPr>
        <w:tc>
          <w:tcPr>
            <w:tcW w:w="6570" w:type="dxa"/>
          </w:tcPr>
          <w:p w14:paraId="1C90129D" w14:textId="3767418B" w:rsidR="006459EF" w:rsidRPr="00903CB4" w:rsidRDefault="006459EF" w:rsidP="00796282">
            <w:pPr>
              <w:pStyle w:val="ListParagraph"/>
              <w:autoSpaceDE w:val="0"/>
              <w:autoSpaceDN w:val="0"/>
              <w:adjustRightInd w:val="0"/>
              <w:spacing w:after="240"/>
              <w:ind w:left="0"/>
              <w:rPr>
                <w:color w:val="000000"/>
                <w:sz w:val="20"/>
              </w:rPr>
            </w:pPr>
          </w:p>
        </w:tc>
        <w:tc>
          <w:tcPr>
            <w:tcW w:w="1260" w:type="dxa"/>
          </w:tcPr>
          <w:p w14:paraId="5E26D285" w14:textId="74388585" w:rsidR="006459EF" w:rsidRPr="00903CB4" w:rsidRDefault="006459EF" w:rsidP="00796282">
            <w:pPr>
              <w:pStyle w:val="ListParagraph"/>
              <w:autoSpaceDE w:val="0"/>
              <w:autoSpaceDN w:val="0"/>
              <w:adjustRightInd w:val="0"/>
              <w:spacing w:after="240"/>
              <w:ind w:left="0"/>
              <w:rPr>
                <w:color w:val="000000"/>
                <w:sz w:val="20"/>
              </w:rPr>
            </w:pPr>
          </w:p>
        </w:tc>
      </w:tr>
      <w:tr w:rsidR="006459EF" w:rsidRPr="00903CB4" w14:paraId="0868C4A7" w14:textId="77777777" w:rsidTr="00796282">
        <w:trPr>
          <w:trHeight w:val="20"/>
        </w:trPr>
        <w:tc>
          <w:tcPr>
            <w:tcW w:w="6570" w:type="dxa"/>
          </w:tcPr>
          <w:p w14:paraId="1B85E849" w14:textId="2E788817" w:rsidR="006459EF" w:rsidRPr="00903CB4" w:rsidRDefault="006459EF" w:rsidP="00796282">
            <w:pPr>
              <w:pStyle w:val="ListParagraph"/>
              <w:autoSpaceDE w:val="0"/>
              <w:autoSpaceDN w:val="0"/>
              <w:adjustRightInd w:val="0"/>
              <w:spacing w:after="240"/>
              <w:ind w:left="0"/>
              <w:rPr>
                <w:color w:val="000000"/>
                <w:sz w:val="20"/>
              </w:rPr>
            </w:pPr>
          </w:p>
        </w:tc>
        <w:tc>
          <w:tcPr>
            <w:tcW w:w="1260" w:type="dxa"/>
          </w:tcPr>
          <w:p w14:paraId="7B2D0013" w14:textId="0F4A3FA6" w:rsidR="006459EF" w:rsidRPr="00903CB4" w:rsidRDefault="006459EF" w:rsidP="00796282">
            <w:pPr>
              <w:pStyle w:val="ListParagraph"/>
              <w:autoSpaceDE w:val="0"/>
              <w:autoSpaceDN w:val="0"/>
              <w:adjustRightInd w:val="0"/>
              <w:spacing w:after="240"/>
              <w:ind w:left="0"/>
              <w:rPr>
                <w:color w:val="000000"/>
                <w:sz w:val="20"/>
              </w:rPr>
            </w:pPr>
          </w:p>
        </w:tc>
      </w:tr>
      <w:tr w:rsidR="006459EF" w:rsidRPr="00903CB4" w14:paraId="7742DD8D" w14:textId="77777777" w:rsidTr="00796282">
        <w:trPr>
          <w:trHeight w:val="20"/>
        </w:trPr>
        <w:tc>
          <w:tcPr>
            <w:tcW w:w="6570" w:type="dxa"/>
          </w:tcPr>
          <w:p w14:paraId="364CF5F0" w14:textId="4ADD04A6" w:rsidR="006459EF" w:rsidRPr="00903CB4" w:rsidRDefault="006459EF" w:rsidP="00796282">
            <w:pPr>
              <w:pStyle w:val="ListParagraph"/>
              <w:autoSpaceDE w:val="0"/>
              <w:autoSpaceDN w:val="0"/>
              <w:adjustRightInd w:val="0"/>
              <w:spacing w:after="240"/>
              <w:ind w:left="0"/>
              <w:rPr>
                <w:color w:val="000000"/>
                <w:sz w:val="20"/>
              </w:rPr>
            </w:pPr>
          </w:p>
        </w:tc>
        <w:tc>
          <w:tcPr>
            <w:tcW w:w="1260" w:type="dxa"/>
          </w:tcPr>
          <w:p w14:paraId="4183C5AA" w14:textId="6109AA74" w:rsidR="006459EF" w:rsidRPr="00903CB4" w:rsidRDefault="006459EF" w:rsidP="00796282">
            <w:pPr>
              <w:pStyle w:val="ListParagraph"/>
              <w:autoSpaceDE w:val="0"/>
              <w:autoSpaceDN w:val="0"/>
              <w:adjustRightInd w:val="0"/>
              <w:spacing w:after="240"/>
              <w:ind w:left="0"/>
              <w:rPr>
                <w:color w:val="000000"/>
                <w:sz w:val="20"/>
              </w:rPr>
            </w:pPr>
          </w:p>
        </w:tc>
      </w:tr>
    </w:tbl>
    <w:p w14:paraId="357C8C3F" w14:textId="4A156A3A" w:rsidR="000943F0" w:rsidRDefault="000943F0" w:rsidP="00CD3572">
      <w:pPr>
        <w:jc w:val="both"/>
        <w:rPr>
          <w:rFonts w:asciiTheme="minorHAnsi" w:hAnsiTheme="minorHAnsi" w:cstheme="minorHAnsi"/>
          <w:bCs/>
          <w:szCs w:val="24"/>
        </w:rPr>
      </w:pPr>
    </w:p>
    <w:p w14:paraId="6EF9F4D6" w14:textId="77777777" w:rsidR="00213667" w:rsidRPr="00213667" w:rsidRDefault="00213667" w:rsidP="00213667">
      <w:pPr>
        <w:suppressAutoHyphens/>
        <w:jc w:val="both"/>
        <w:rPr>
          <w:rFonts w:asciiTheme="minorHAnsi" w:hAnsiTheme="minorHAnsi" w:cstheme="minorHAnsi"/>
        </w:rPr>
      </w:pPr>
      <w:r w:rsidRPr="00213667">
        <w:rPr>
          <w:rFonts w:asciiTheme="minorHAnsi" w:hAnsiTheme="minorHAnsi" w:cstheme="minorHAnsi"/>
        </w:rPr>
        <w:t>Note that the Tri-Laboratory prefers to limit the number of SKCs subject to price adjustment, and to limit the type of SKCs subject to price adjustment to DDR memory, HBM memory, and possibly NVMe / SSD drives.  If proposed by Offeror, the Tri-Laboratory may consider allowing hard disks subject to price adjustment; however, the Tri-Laboratory prefers not to do so.</w:t>
      </w:r>
    </w:p>
    <w:p w14:paraId="5E50F504" w14:textId="77777777" w:rsidR="00213667" w:rsidRDefault="00213667" w:rsidP="00213667">
      <w:pPr>
        <w:suppressAutoHyphens/>
        <w:jc w:val="both"/>
        <w:rPr>
          <w:rFonts w:asciiTheme="minorHAnsi" w:hAnsiTheme="minorHAnsi" w:cstheme="minorHAnsi"/>
        </w:rPr>
      </w:pPr>
    </w:p>
    <w:p w14:paraId="10357C9B" w14:textId="77777777" w:rsidR="00213667" w:rsidRDefault="00213667" w:rsidP="00213667">
      <w:pPr>
        <w:suppressAutoHyphens/>
        <w:jc w:val="both"/>
        <w:rPr>
          <w:rFonts w:asciiTheme="minorHAnsi" w:hAnsiTheme="minorHAnsi" w:cstheme="minorHAnsi"/>
        </w:rPr>
      </w:pPr>
    </w:p>
    <w:p w14:paraId="74A4E411" w14:textId="6F6C1104" w:rsidR="00362274" w:rsidRPr="00176982" w:rsidRDefault="00176982" w:rsidP="006440C6">
      <w:pPr>
        <w:jc w:val="both"/>
        <w:rPr>
          <w:rFonts w:asciiTheme="minorHAnsi" w:hAnsiTheme="minorHAnsi" w:cstheme="minorHAnsi"/>
          <w:b/>
          <w:i/>
          <w:iCs/>
          <w:sz w:val="28"/>
          <w:szCs w:val="28"/>
        </w:rPr>
      </w:pPr>
      <w:r w:rsidRPr="00176982">
        <w:rPr>
          <w:rFonts w:asciiTheme="minorHAnsi" w:hAnsiTheme="minorHAnsi" w:cstheme="minorHAnsi"/>
          <w:b/>
          <w:i/>
          <w:iCs/>
          <w:sz w:val="28"/>
          <w:szCs w:val="28"/>
        </w:rPr>
        <w:lastRenderedPageBreak/>
        <w:t>TOPIC 3</w:t>
      </w:r>
    </w:p>
    <w:p w14:paraId="43535FB1" w14:textId="414CA756" w:rsidR="00176982" w:rsidRDefault="00176982" w:rsidP="006440C6">
      <w:pPr>
        <w:jc w:val="both"/>
        <w:rPr>
          <w:rFonts w:asciiTheme="minorHAnsi" w:hAnsiTheme="minorHAnsi" w:cstheme="minorHAnsi"/>
          <w:bCs/>
          <w:szCs w:val="24"/>
        </w:rPr>
      </w:pPr>
    </w:p>
    <w:p w14:paraId="34BC6709" w14:textId="409B6786" w:rsidR="00176982" w:rsidRDefault="009E4005" w:rsidP="006440C6">
      <w:pPr>
        <w:jc w:val="both"/>
        <w:rPr>
          <w:rFonts w:asciiTheme="minorHAnsi" w:hAnsiTheme="minorHAnsi" w:cstheme="minorHAnsi"/>
          <w:bCs/>
          <w:szCs w:val="24"/>
        </w:rPr>
      </w:pPr>
      <w:r>
        <w:rPr>
          <w:rFonts w:asciiTheme="minorHAnsi" w:hAnsiTheme="minorHAnsi" w:cstheme="minorHAnsi"/>
          <w:szCs w:val="24"/>
        </w:rPr>
        <w:t xml:space="preserve">Below </w:t>
      </w:r>
      <w:r w:rsidR="00176982" w:rsidRPr="00B94FB9">
        <w:rPr>
          <w:rFonts w:asciiTheme="minorHAnsi" w:hAnsiTheme="minorHAnsi" w:cstheme="minorHAnsi"/>
          <w:szCs w:val="24"/>
        </w:rPr>
        <w:t xml:space="preserve">Offeror will insert </w:t>
      </w:r>
      <w:r w:rsidR="00176982">
        <w:rPr>
          <w:rFonts w:asciiTheme="minorHAnsi" w:hAnsiTheme="minorHAnsi" w:cstheme="minorHAnsi"/>
          <w:szCs w:val="24"/>
        </w:rPr>
        <w:t xml:space="preserve">its </w:t>
      </w:r>
      <w:r w:rsidR="00176982" w:rsidRPr="00B94FB9">
        <w:rPr>
          <w:rFonts w:asciiTheme="minorHAnsi" w:hAnsiTheme="minorHAnsi" w:cstheme="minorHAnsi"/>
          <w:szCs w:val="24"/>
        </w:rPr>
        <w:t>proposed</w:t>
      </w:r>
      <w:r w:rsidR="00176982">
        <w:rPr>
          <w:rFonts w:asciiTheme="minorHAnsi" w:hAnsiTheme="minorHAnsi" w:cstheme="minorHAnsi"/>
          <w:szCs w:val="24"/>
        </w:rPr>
        <w:t xml:space="preserve"> date for price adjustment terms to commence.</w:t>
      </w:r>
    </w:p>
    <w:p w14:paraId="7592609C" w14:textId="77777777" w:rsidR="00176982" w:rsidRDefault="00176982" w:rsidP="00176982">
      <w:pPr>
        <w:rPr>
          <w:szCs w:val="24"/>
        </w:rPr>
      </w:pPr>
    </w:p>
    <w:p w14:paraId="0B913005" w14:textId="6D1D5959" w:rsidR="00176982" w:rsidRPr="0022075E" w:rsidRDefault="00176982" w:rsidP="00176982">
      <w:pPr>
        <w:pStyle w:val="ListParagraph"/>
        <w:numPr>
          <w:ilvl w:val="0"/>
          <w:numId w:val="2"/>
        </w:numPr>
        <w:rPr>
          <w:szCs w:val="24"/>
        </w:rPr>
      </w:pPr>
      <w:r w:rsidRPr="00CD2236">
        <w:rPr>
          <w:szCs w:val="24"/>
        </w:rPr>
        <w:t xml:space="preserve">Equipment options shall become eligible for </w:t>
      </w:r>
      <w:r>
        <w:rPr>
          <w:szCs w:val="24"/>
        </w:rPr>
        <w:t xml:space="preserve">consideration of potential future </w:t>
      </w:r>
      <w:r w:rsidRPr="00CD2236">
        <w:rPr>
          <w:szCs w:val="24"/>
        </w:rPr>
        <w:t>price adjustment TBD (</w:t>
      </w:r>
      <w:r w:rsidRPr="00CD2236">
        <w:rPr>
          <w:color w:val="FF0000"/>
          <w:szCs w:val="24"/>
        </w:rPr>
        <w:t>number of months or years</w:t>
      </w:r>
      <w:r w:rsidRPr="00CD2236">
        <w:rPr>
          <w:szCs w:val="24"/>
        </w:rPr>
        <w:t xml:space="preserve">) after the date of Subcontract award. </w:t>
      </w:r>
      <w:r>
        <w:rPr>
          <w:noProof/>
        </w:rPr>
        <w:t xml:space="preserve">Price adjustment(s): (i) may involve either an increase or a decrease to equipment options and their corresponding milestone payment amounts; and (ii) </w:t>
      </w:r>
      <w:r w:rsidRPr="00CD2236">
        <w:rPr>
          <w:szCs w:val="24"/>
        </w:rPr>
        <w:t>will be</w:t>
      </w:r>
      <w:r>
        <w:rPr>
          <w:szCs w:val="24"/>
        </w:rPr>
        <w:t xml:space="preserve"> effective</w:t>
      </w:r>
      <w:r w:rsidRPr="00CD2236">
        <w:rPr>
          <w:szCs w:val="24"/>
        </w:rPr>
        <w:t xml:space="preserve"> </w:t>
      </w:r>
      <w:r w:rsidRPr="007E0801">
        <w:rPr>
          <w:noProof/>
        </w:rPr>
        <w:t xml:space="preserve">by written </w:t>
      </w:r>
      <w:r>
        <w:rPr>
          <w:noProof/>
        </w:rPr>
        <w:t>bilatera</w:t>
      </w:r>
      <w:r w:rsidRPr="007E0801">
        <w:rPr>
          <w:noProof/>
        </w:rPr>
        <w:t>l modification to this Subcontract</w:t>
      </w:r>
      <w:r>
        <w:rPr>
          <w:noProof/>
        </w:rPr>
        <w:t>.</w:t>
      </w:r>
    </w:p>
    <w:p w14:paraId="5F6AFBE4" w14:textId="4E117166" w:rsidR="00176982" w:rsidRDefault="00176982" w:rsidP="006440C6">
      <w:pPr>
        <w:jc w:val="both"/>
        <w:rPr>
          <w:rFonts w:asciiTheme="minorHAnsi" w:hAnsiTheme="minorHAnsi" w:cstheme="minorHAnsi"/>
          <w:bCs/>
          <w:szCs w:val="24"/>
        </w:rPr>
      </w:pPr>
    </w:p>
    <w:p w14:paraId="330A23BA" w14:textId="77777777" w:rsidR="00213667" w:rsidRPr="00213667" w:rsidRDefault="00213667" w:rsidP="00213667">
      <w:pPr>
        <w:suppressAutoHyphens/>
        <w:jc w:val="both"/>
        <w:rPr>
          <w:rFonts w:asciiTheme="minorHAnsi" w:hAnsiTheme="minorHAnsi" w:cstheme="minorHAnsi"/>
        </w:rPr>
      </w:pPr>
      <w:r w:rsidRPr="00213667">
        <w:rPr>
          <w:rFonts w:asciiTheme="minorHAnsi" w:hAnsiTheme="minorHAnsi" w:cstheme="minorHAnsi"/>
        </w:rPr>
        <w:t>Note that the Tri-Laboratory prefers for that date to be at least two years after the date of initial subcontract award, and more strongly prefers a later date.</w:t>
      </w:r>
    </w:p>
    <w:p w14:paraId="2FED05F4" w14:textId="77777777" w:rsidR="00213667" w:rsidRDefault="00213667" w:rsidP="006440C6">
      <w:pPr>
        <w:jc w:val="both"/>
        <w:rPr>
          <w:rFonts w:asciiTheme="minorHAnsi" w:hAnsiTheme="minorHAnsi" w:cstheme="minorHAnsi"/>
          <w:bCs/>
          <w:szCs w:val="24"/>
        </w:rPr>
      </w:pPr>
    </w:p>
    <w:p w14:paraId="286AA27D" w14:textId="78D2BDFD" w:rsidR="00176982" w:rsidRPr="00176982" w:rsidRDefault="00176982" w:rsidP="00176982">
      <w:pPr>
        <w:jc w:val="both"/>
        <w:rPr>
          <w:rFonts w:asciiTheme="minorHAnsi" w:hAnsiTheme="minorHAnsi" w:cstheme="minorHAnsi"/>
          <w:b/>
          <w:i/>
          <w:iCs/>
          <w:sz w:val="28"/>
          <w:szCs w:val="28"/>
        </w:rPr>
      </w:pPr>
      <w:r w:rsidRPr="00176982">
        <w:rPr>
          <w:rFonts w:asciiTheme="minorHAnsi" w:hAnsiTheme="minorHAnsi" w:cstheme="minorHAnsi"/>
          <w:b/>
          <w:i/>
          <w:iCs/>
          <w:sz w:val="28"/>
          <w:szCs w:val="28"/>
        </w:rPr>
        <w:t xml:space="preserve">TOPIC </w:t>
      </w:r>
      <w:r>
        <w:rPr>
          <w:rFonts w:asciiTheme="minorHAnsi" w:hAnsiTheme="minorHAnsi" w:cstheme="minorHAnsi"/>
          <w:b/>
          <w:i/>
          <w:iCs/>
          <w:sz w:val="28"/>
          <w:szCs w:val="28"/>
        </w:rPr>
        <w:t>4</w:t>
      </w:r>
    </w:p>
    <w:p w14:paraId="31DA97BA" w14:textId="29FB88A6" w:rsidR="00176982" w:rsidRDefault="00176982" w:rsidP="006440C6">
      <w:pPr>
        <w:jc w:val="both"/>
        <w:rPr>
          <w:rFonts w:asciiTheme="minorHAnsi" w:hAnsiTheme="minorHAnsi" w:cstheme="minorHAnsi"/>
          <w:bCs/>
          <w:szCs w:val="24"/>
        </w:rPr>
      </w:pPr>
    </w:p>
    <w:p w14:paraId="31B6061F" w14:textId="25A586D5" w:rsidR="00176982" w:rsidRDefault="00176982" w:rsidP="006440C6">
      <w:pPr>
        <w:jc w:val="both"/>
        <w:rPr>
          <w:rFonts w:asciiTheme="minorHAnsi" w:hAnsiTheme="minorHAnsi" w:cstheme="minorHAnsi"/>
          <w:bCs/>
          <w:szCs w:val="24"/>
        </w:rPr>
      </w:pPr>
      <w:r>
        <w:rPr>
          <w:rFonts w:asciiTheme="minorHAnsi" w:hAnsiTheme="minorHAnsi" w:cstheme="minorHAnsi"/>
          <w:szCs w:val="24"/>
        </w:rPr>
        <w:t xml:space="preserve">Consistent with Offeror’s insert for Topic 3 above, </w:t>
      </w:r>
      <w:r w:rsidR="009E4005">
        <w:rPr>
          <w:rFonts w:asciiTheme="minorHAnsi" w:hAnsiTheme="minorHAnsi" w:cstheme="minorHAnsi"/>
          <w:szCs w:val="24"/>
        </w:rPr>
        <w:t xml:space="preserve">below </w:t>
      </w:r>
      <w:r w:rsidRPr="00B94FB9">
        <w:rPr>
          <w:rFonts w:asciiTheme="minorHAnsi" w:hAnsiTheme="minorHAnsi" w:cstheme="minorHAnsi"/>
          <w:szCs w:val="24"/>
        </w:rPr>
        <w:t xml:space="preserve">Offeror will insert </w:t>
      </w:r>
      <w:r>
        <w:rPr>
          <w:rFonts w:asciiTheme="minorHAnsi" w:hAnsiTheme="minorHAnsi" w:cstheme="minorHAnsi"/>
          <w:szCs w:val="24"/>
        </w:rPr>
        <w:t xml:space="preserve">its </w:t>
      </w:r>
      <w:r w:rsidRPr="00B94FB9">
        <w:rPr>
          <w:rFonts w:asciiTheme="minorHAnsi" w:hAnsiTheme="minorHAnsi" w:cstheme="minorHAnsi"/>
          <w:szCs w:val="24"/>
        </w:rPr>
        <w:t>proposed</w:t>
      </w:r>
      <w:r>
        <w:rPr>
          <w:rFonts w:asciiTheme="minorHAnsi" w:hAnsiTheme="minorHAnsi" w:cstheme="minorHAnsi"/>
          <w:szCs w:val="24"/>
        </w:rPr>
        <w:t xml:space="preserve"> date for price adjustment terms to commence, and its proposed interval / frequency for price adjustment consideration requests.</w:t>
      </w:r>
    </w:p>
    <w:p w14:paraId="102A333B" w14:textId="77777777" w:rsidR="00176982" w:rsidRDefault="00176982" w:rsidP="00176982">
      <w:pPr>
        <w:rPr>
          <w:szCs w:val="24"/>
        </w:rPr>
      </w:pPr>
    </w:p>
    <w:p w14:paraId="3DFC1641" w14:textId="414B74BD" w:rsidR="00176982" w:rsidRPr="001F0841" w:rsidRDefault="00176982" w:rsidP="00176982">
      <w:pPr>
        <w:pStyle w:val="ListParagraph"/>
        <w:numPr>
          <w:ilvl w:val="0"/>
          <w:numId w:val="2"/>
        </w:numPr>
        <w:rPr>
          <w:szCs w:val="24"/>
        </w:rPr>
      </w:pPr>
      <w:r w:rsidRPr="00CD2236">
        <w:rPr>
          <w:szCs w:val="24"/>
        </w:rPr>
        <w:t>TBD (</w:t>
      </w:r>
      <w:r w:rsidRPr="00CD2236">
        <w:rPr>
          <w:color w:val="FF0000"/>
          <w:szCs w:val="24"/>
        </w:rPr>
        <w:t>number of months or years</w:t>
      </w:r>
      <w:r w:rsidRPr="00CD2236">
        <w:rPr>
          <w:szCs w:val="24"/>
        </w:rPr>
        <w:t>) after the date of Subcontract award</w:t>
      </w:r>
      <w:r>
        <w:rPr>
          <w:szCs w:val="24"/>
        </w:rPr>
        <w:t>,</w:t>
      </w:r>
      <w:r w:rsidRPr="00AA7C80">
        <w:rPr>
          <w:szCs w:val="24"/>
        </w:rPr>
        <w:t xml:space="preserve"> </w:t>
      </w:r>
      <w:r>
        <w:rPr>
          <w:szCs w:val="24"/>
        </w:rPr>
        <w:t>e</w:t>
      </w:r>
      <w:r w:rsidRPr="00AA7C80">
        <w:rPr>
          <w:szCs w:val="24"/>
        </w:rPr>
        <w:t>ither party may</w:t>
      </w:r>
      <w:r>
        <w:rPr>
          <w:szCs w:val="24"/>
        </w:rPr>
        <w:t xml:space="preserve"> initiate a request for price adjustment consideration by submitting a written request to the other party.</w:t>
      </w:r>
      <w:r w:rsidRPr="00AA7C80">
        <w:rPr>
          <w:szCs w:val="24"/>
        </w:rPr>
        <w:t xml:space="preserve"> </w:t>
      </w:r>
      <w:r>
        <w:rPr>
          <w:szCs w:val="24"/>
        </w:rPr>
        <w:t xml:space="preserve">A written request will: (i) include a table similar to the one in Paragraph F. above, (ii) identify the suggested SKC unit price change(s); (iii) describe the corresponding rationale / basis; and (iv) include any other relevant supporting information, such as documentation supporting recent prices paid by the requesting party to suppliers for SKCs in quantities commensurate with CTS-2. </w:t>
      </w:r>
      <w:r w:rsidRPr="001F0841">
        <w:rPr>
          <w:szCs w:val="24"/>
        </w:rPr>
        <w:t xml:space="preserve">The party that submits the request may not submit another </w:t>
      </w:r>
      <w:r>
        <w:rPr>
          <w:szCs w:val="24"/>
        </w:rPr>
        <w:t xml:space="preserve">price adjustment consideration </w:t>
      </w:r>
      <w:r w:rsidRPr="001F0841">
        <w:rPr>
          <w:szCs w:val="24"/>
        </w:rPr>
        <w:t>request for at least TBD (</w:t>
      </w:r>
      <w:r w:rsidRPr="001F0841">
        <w:rPr>
          <w:color w:val="FF0000"/>
          <w:szCs w:val="24"/>
        </w:rPr>
        <w:t>number of months</w:t>
      </w:r>
      <w:r w:rsidRPr="001F0841">
        <w:rPr>
          <w:szCs w:val="24"/>
        </w:rPr>
        <w:t>).</w:t>
      </w:r>
    </w:p>
    <w:p w14:paraId="2459F3AE" w14:textId="08BA2CBB" w:rsidR="00176982" w:rsidRDefault="00176982" w:rsidP="006440C6">
      <w:pPr>
        <w:jc w:val="both"/>
        <w:rPr>
          <w:rFonts w:asciiTheme="minorHAnsi" w:hAnsiTheme="minorHAnsi" w:cstheme="minorHAnsi"/>
          <w:bCs/>
          <w:szCs w:val="24"/>
        </w:rPr>
      </w:pPr>
    </w:p>
    <w:p w14:paraId="3038E2E0" w14:textId="77777777" w:rsidR="00213667" w:rsidRPr="008E05DF" w:rsidRDefault="00213667" w:rsidP="00213667">
      <w:pPr>
        <w:suppressAutoHyphens/>
        <w:jc w:val="both"/>
        <w:rPr>
          <w:rFonts w:asciiTheme="minorHAnsi" w:hAnsiTheme="minorHAnsi" w:cstheme="minorHAnsi"/>
        </w:rPr>
      </w:pPr>
      <w:r w:rsidRPr="008E05DF">
        <w:rPr>
          <w:rFonts w:asciiTheme="minorHAnsi" w:hAnsiTheme="minorHAnsi" w:cstheme="minorHAnsi"/>
        </w:rPr>
        <w:t>Note that the Tri-Laboratory prefers longer intervals, which means fewer price adjustment administrative actions to process.</w:t>
      </w:r>
    </w:p>
    <w:p w14:paraId="7A5BD64B" w14:textId="77777777" w:rsidR="00213667" w:rsidRPr="008E05DF" w:rsidRDefault="00213667" w:rsidP="00213667">
      <w:pPr>
        <w:jc w:val="both"/>
        <w:rPr>
          <w:rFonts w:asciiTheme="minorHAnsi" w:hAnsiTheme="minorHAnsi" w:cstheme="minorHAnsi"/>
          <w:bCs/>
          <w:szCs w:val="24"/>
        </w:rPr>
      </w:pPr>
    </w:p>
    <w:p w14:paraId="74CE5283" w14:textId="77777777" w:rsidR="00014351" w:rsidRPr="001C7EC8" w:rsidRDefault="00014351" w:rsidP="006440C6">
      <w:pPr>
        <w:jc w:val="both"/>
        <w:rPr>
          <w:rFonts w:asciiTheme="minorHAnsi" w:hAnsiTheme="minorHAnsi" w:cstheme="minorHAnsi"/>
          <w:szCs w:val="24"/>
        </w:rPr>
      </w:pPr>
      <w:r w:rsidRPr="001C7EC8">
        <w:rPr>
          <w:rFonts w:asciiTheme="minorHAnsi" w:hAnsiTheme="minorHAnsi" w:cstheme="minorHAnsi"/>
          <w:szCs w:val="24"/>
        </w:rPr>
        <w:t>-end-</w:t>
      </w:r>
    </w:p>
    <w:sectPr w:rsidR="00014351" w:rsidRPr="001C7EC8" w:rsidSect="004A74D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C92ED" w14:textId="77777777" w:rsidR="000A4EDF" w:rsidRDefault="000A4EDF">
      <w:r>
        <w:separator/>
      </w:r>
    </w:p>
  </w:endnote>
  <w:endnote w:type="continuationSeparator" w:id="0">
    <w:p w14:paraId="0444EA75" w14:textId="77777777" w:rsidR="000A4EDF" w:rsidRDefault="000A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5A85" w14:textId="77777777" w:rsidR="00A568BD" w:rsidRDefault="00A5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A69F" w14:textId="77777777" w:rsidR="00293BC6" w:rsidRPr="000E2C37" w:rsidRDefault="00293BC6" w:rsidP="005E44E1">
    <w:pPr>
      <w:pStyle w:val="Footer"/>
      <w:jc w:val="center"/>
      <w:rPr>
        <w:rFonts w:asciiTheme="minorHAnsi" w:hAnsiTheme="minorHAnsi" w:cstheme="minorHAnsi"/>
      </w:rPr>
    </w:pPr>
    <w:r w:rsidRPr="000E2C37">
      <w:rPr>
        <w:rFonts w:asciiTheme="minorHAnsi" w:hAnsiTheme="minorHAnsi" w:cstheme="minorHAnsi"/>
      </w:rPr>
      <w:t xml:space="preserve">- </w:t>
    </w:r>
    <w:r w:rsidRPr="000E2C37">
      <w:rPr>
        <w:rStyle w:val="PageNumber"/>
        <w:rFonts w:asciiTheme="minorHAnsi" w:hAnsiTheme="minorHAnsi" w:cstheme="minorHAnsi"/>
      </w:rPr>
      <w:fldChar w:fldCharType="begin"/>
    </w:r>
    <w:r w:rsidRPr="000E2C37">
      <w:rPr>
        <w:rStyle w:val="PageNumber"/>
        <w:rFonts w:asciiTheme="minorHAnsi" w:hAnsiTheme="minorHAnsi" w:cstheme="minorHAnsi"/>
      </w:rPr>
      <w:instrText xml:space="preserve"> PAGE </w:instrText>
    </w:r>
    <w:r w:rsidRPr="000E2C37">
      <w:rPr>
        <w:rStyle w:val="PageNumber"/>
        <w:rFonts w:asciiTheme="minorHAnsi" w:hAnsiTheme="minorHAnsi" w:cstheme="minorHAnsi"/>
      </w:rPr>
      <w:fldChar w:fldCharType="separate"/>
    </w:r>
    <w:r w:rsidRPr="000E2C37">
      <w:rPr>
        <w:rStyle w:val="PageNumber"/>
        <w:rFonts w:asciiTheme="minorHAnsi" w:hAnsiTheme="minorHAnsi" w:cstheme="minorHAnsi"/>
        <w:noProof/>
      </w:rPr>
      <w:t>4</w:t>
    </w:r>
    <w:r w:rsidRPr="000E2C37">
      <w:rPr>
        <w:rStyle w:val="PageNumber"/>
        <w:rFonts w:asciiTheme="minorHAnsi" w:hAnsiTheme="minorHAnsi" w:cstheme="minorHAnsi"/>
      </w:rPr>
      <w:fldChar w:fldCharType="end"/>
    </w:r>
    <w:r w:rsidRPr="000E2C37">
      <w:rPr>
        <w:rFonts w:asciiTheme="minorHAnsi" w:hAnsiTheme="minorHAnsi" w:cs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DCBA2" w14:textId="77777777" w:rsidR="00A568BD" w:rsidRDefault="00A56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BF31E" w14:textId="77777777" w:rsidR="000A4EDF" w:rsidRDefault="000A4EDF">
      <w:r>
        <w:separator/>
      </w:r>
    </w:p>
  </w:footnote>
  <w:footnote w:type="continuationSeparator" w:id="0">
    <w:p w14:paraId="00605679" w14:textId="77777777" w:rsidR="000A4EDF" w:rsidRDefault="000A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B9E4" w14:textId="77777777" w:rsidR="00A568BD" w:rsidRDefault="00A56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1A7F" w14:textId="283E727F" w:rsidR="00293BC6" w:rsidRPr="001C7EC8" w:rsidRDefault="00293BC6" w:rsidP="00445824">
    <w:pPr>
      <w:pStyle w:val="Header"/>
      <w:jc w:val="right"/>
      <w:rPr>
        <w:rFonts w:asciiTheme="minorHAnsi" w:hAnsiTheme="minorHAnsi" w:cstheme="minorHAnsi"/>
        <w:sz w:val="20"/>
      </w:rPr>
    </w:pPr>
    <w:r w:rsidRPr="001C7EC8">
      <w:rPr>
        <w:rFonts w:asciiTheme="minorHAnsi" w:hAnsiTheme="minorHAnsi" w:cstheme="minorHAnsi"/>
        <w:sz w:val="20"/>
      </w:rPr>
      <w:t xml:space="preserve">Attachment </w:t>
    </w:r>
    <w:r w:rsidR="00700858">
      <w:rPr>
        <w:rFonts w:asciiTheme="minorHAnsi" w:hAnsiTheme="minorHAnsi" w:cstheme="minorHAnsi"/>
        <w:sz w:val="20"/>
      </w:rPr>
      <w:t>0</w:t>
    </w:r>
    <w:bookmarkStart w:id="0" w:name="_GoBack"/>
    <w:bookmarkEnd w:id="0"/>
    <w:r w:rsidR="007E1876">
      <w:rPr>
        <w:rFonts w:asciiTheme="minorHAnsi" w:hAnsiTheme="minorHAnsi" w:cstheme="minorHAnsi"/>
        <w:sz w:val="20"/>
      </w:rPr>
      <w:t>5</w:t>
    </w:r>
  </w:p>
  <w:p w14:paraId="4AA26270" w14:textId="3553C98D" w:rsidR="00293BC6" w:rsidRPr="001C7EC8" w:rsidRDefault="008F1599" w:rsidP="00445824">
    <w:pPr>
      <w:pStyle w:val="Header"/>
      <w:jc w:val="right"/>
      <w:rPr>
        <w:rFonts w:asciiTheme="minorHAnsi" w:hAnsiTheme="minorHAnsi" w:cstheme="minorHAnsi"/>
        <w:sz w:val="20"/>
      </w:rPr>
    </w:pPr>
    <w:r>
      <w:rPr>
        <w:rFonts w:asciiTheme="minorHAnsi" w:hAnsiTheme="minorHAnsi" w:cstheme="minorHAnsi"/>
        <w:sz w:val="20"/>
      </w:rPr>
      <w:t>06-15-20</w:t>
    </w:r>
  </w:p>
  <w:p w14:paraId="52A73688" w14:textId="77777777" w:rsidR="00293BC6" w:rsidRPr="001C7EC8" w:rsidRDefault="00293BC6" w:rsidP="00445824">
    <w:pPr>
      <w:pStyle w:val="Header"/>
      <w:jc w:val="right"/>
      <w:rPr>
        <w:rFonts w:asciiTheme="minorHAnsi" w:hAnsiTheme="minorHAnsi" w:cstheme="minorHAns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A2E9" w14:textId="77777777" w:rsidR="00A568BD" w:rsidRDefault="00A56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028D0"/>
    <w:multiLevelType w:val="hybridMultilevel"/>
    <w:tmpl w:val="E618A35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540864"/>
    <w:multiLevelType w:val="hybridMultilevel"/>
    <w:tmpl w:val="21062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C53D9"/>
    <w:multiLevelType w:val="hybridMultilevel"/>
    <w:tmpl w:val="71BC9A5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B3"/>
    <w:rsid w:val="00014351"/>
    <w:rsid w:val="0002204E"/>
    <w:rsid w:val="0004417D"/>
    <w:rsid w:val="000537E4"/>
    <w:rsid w:val="00085F31"/>
    <w:rsid w:val="000943F0"/>
    <w:rsid w:val="00094BE7"/>
    <w:rsid w:val="000A4EDF"/>
    <w:rsid w:val="000B5E76"/>
    <w:rsid w:val="000C7F70"/>
    <w:rsid w:val="000E2C37"/>
    <w:rsid w:val="000F1CCA"/>
    <w:rsid w:val="001075BE"/>
    <w:rsid w:val="00107E3B"/>
    <w:rsid w:val="00111BFF"/>
    <w:rsid w:val="00114520"/>
    <w:rsid w:val="001155CB"/>
    <w:rsid w:val="00122F65"/>
    <w:rsid w:val="0012629E"/>
    <w:rsid w:val="001500A0"/>
    <w:rsid w:val="00151BDF"/>
    <w:rsid w:val="00160797"/>
    <w:rsid w:val="00176982"/>
    <w:rsid w:val="00180E49"/>
    <w:rsid w:val="00191E07"/>
    <w:rsid w:val="001979E7"/>
    <w:rsid w:val="001A5174"/>
    <w:rsid w:val="001A5292"/>
    <w:rsid w:val="001B2CDD"/>
    <w:rsid w:val="001C3AF4"/>
    <w:rsid w:val="001C7EC8"/>
    <w:rsid w:val="00213667"/>
    <w:rsid w:val="0023279C"/>
    <w:rsid w:val="00247AAD"/>
    <w:rsid w:val="00256925"/>
    <w:rsid w:val="002723D0"/>
    <w:rsid w:val="00273382"/>
    <w:rsid w:val="00274DB4"/>
    <w:rsid w:val="00275261"/>
    <w:rsid w:val="00293BC6"/>
    <w:rsid w:val="002957C3"/>
    <w:rsid w:val="00296B7C"/>
    <w:rsid w:val="002A1432"/>
    <w:rsid w:val="002A553D"/>
    <w:rsid w:val="002B4305"/>
    <w:rsid w:val="002B5945"/>
    <w:rsid w:val="002C38D5"/>
    <w:rsid w:val="002C4EB8"/>
    <w:rsid w:val="002C7FA3"/>
    <w:rsid w:val="002D0EEA"/>
    <w:rsid w:val="002D2F5C"/>
    <w:rsid w:val="002F72CA"/>
    <w:rsid w:val="003023A8"/>
    <w:rsid w:val="00312693"/>
    <w:rsid w:val="00316306"/>
    <w:rsid w:val="003338AC"/>
    <w:rsid w:val="00356102"/>
    <w:rsid w:val="003565F3"/>
    <w:rsid w:val="00362274"/>
    <w:rsid w:val="003766FC"/>
    <w:rsid w:val="0039360A"/>
    <w:rsid w:val="00395830"/>
    <w:rsid w:val="003A6876"/>
    <w:rsid w:val="003B2F99"/>
    <w:rsid w:val="003C19BC"/>
    <w:rsid w:val="003D17D3"/>
    <w:rsid w:val="003D33EB"/>
    <w:rsid w:val="003E37A0"/>
    <w:rsid w:val="003F279F"/>
    <w:rsid w:val="0040360C"/>
    <w:rsid w:val="004062F9"/>
    <w:rsid w:val="004155EF"/>
    <w:rsid w:val="0043297B"/>
    <w:rsid w:val="00443082"/>
    <w:rsid w:val="00445824"/>
    <w:rsid w:val="00456850"/>
    <w:rsid w:val="0046782F"/>
    <w:rsid w:val="00486565"/>
    <w:rsid w:val="00487328"/>
    <w:rsid w:val="004961B3"/>
    <w:rsid w:val="00497514"/>
    <w:rsid w:val="00497808"/>
    <w:rsid w:val="004A1425"/>
    <w:rsid w:val="004A3371"/>
    <w:rsid w:val="004A74DD"/>
    <w:rsid w:val="004B1A57"/>
    <w:rsid w:val="004C1C37"/>
    <w:rsid w:val="004C280D"/>
    <w:rsid w:val="004C2E3B"/>
    <w:rsid w:val="004F6BF1"/>
    <w:rsid w:val="004F76C3"/>
    <w:rsid w:val="00512748"/>
    <w:rsid w:val="0052037E"/>
    <w:rsid w:val="00524BED"/>
    <w:rsid w:val="005366ED"/>
    <w:rsid w:val="00545660"/>
    <w:rsid w:val="00545D0D"/>
    <w:rsid w:val="00546867"/>
    <w:rsid w:val="0055132E"/>
    <w:rsid w:val="0055641A"/>
    <w:rsid w:val="005751B5"/>
    <w:rsid w:val="00575751"/>
    <w:rsid w:val="00594C85"/>
    <w:rsid w:val="005B4C00"/>
    <w:rsid w:val="005B5E22"/>
    <w:rsid w:val="005C5530"/>
    <w:rsid w:val="005E3D8A"/>
    <w:rsid w:val="005E44E1"/>
    <w:rsid w:val="005F274B"/>
    <w:rsid w:val="0061581E"/>
    <w:rsid w:val="00640CED"/>
    <w:rsid w:val="006440C6"/>
    <w:rsid w:val="006459EF"/>
    <w:rsid w:val="00656C47"/>
    <w:rsid w:val="006663DF"/>
    <w:rsid w:val="00674672"/>
    <w:rsid w:val="00696772"/>
    <w:rsid w:val="006E2604"/>
    <w:rsid w:val="007003F2"/>
    <w:rsid w:val="00700858"/>
    <w:rsid w:val="00703BF2"/>
    <w:rsid w:val="00704134"/>
    <w:rsid w:val="00705077"/>
    <w:rsid w:val="0071293D"/>
    <w:rsid w:val="007154C0"/>
    <w:rsid w:val="0072345B"/>
    <w:rsid w:val="00725040"/>
    <w:rsid w:val="00762BB7"/>
    <w:rsid w:val="00774ADC"/>
    <w:rsid w:val="007A0FEA"/>
    <w:rsid w:val="007C20EB"/>
    <w:rsid w:val="007C2CD6"/>
    <w:rsid w:val="007D429E"/>
    <w:rsid w:val="007D513F"/>
    <w:rsid w:val="007D57C4"/>
    <w:rsid w:val="007E04C3"/>
    <w:rsid w:val="007E1876"/>
    <w:rsid w:val="007E3749"/>
    <w:rsid w:val="007F3CFB"/>
    <w:rsid w:val="007F7F3A"/>
    <w:rsid w:val="0082332E"/>
    <w:rsid w:val="008253A3"/>
    <w:rsid w:val="008254F7"/>
    <w:rsid w:val="008303A8"/>
    <w:rsid w:val="00831DF8"/>
    <w:rsid w:val="00837CD6"/>
    <w:rsid w:val="00854CD2"/>
    <w:rsid w:val="00862368"/>
    <w:rsid w:val="008634FB"/>
    <w:rsid w:val="008701B3"/>
    <w:rsid w:val="008774D0"/>
    <w:rsid w:val="008801D3"/>
    <w:rsid w:val="00892A0B"/>
    <w:rsid w:val="00893D73"/>
    <w:rsid w:val="008B3671"/>
    <w:rsid w:val="008B478C"/>
    <w:rsid w:val="008C7CAB"/>
    <w:rsid w:val="008D626F"/>
    <w:rsid w:val="008E05DF"/>
    <w:rsid w:val="008F1599"/>
    <w:rsid w:val="008F3846"/>
    <w:rsid w:val="008F6B69"/>
    <w:rsid w:val="00901A50"/>
    <w:rsid w:val="00943982"/>
    <w:rsid w:val="00947C47"/>
    <w:rsid w:val="009848B7"/>
    <w:rsid w:val="00995676"/>
    <w:rsid w:val="009A3315"/>
    <w:rsid w:val="009B4BF4"/>
    <w:rsid w:val="009D17CE"/>
    <w:rsid w:val="009D2B50"/>
    <w:rsid w:val="009D3969"/>
    <w:rsid w:val="009D7184"/>
    <w:rsid w:val="009E4005"/>
    <w:rsid w:val="009E4DF6"/>
    <w:rsid w:val="009E73F4"/>
    <w:rsid w:val="009F6246"/>
    <w:rsid w:val="00A05F23"/>
    <w:rsid w:val="00A06E59"/>
    <w:rsid w:val="00A160E8"/>
    <w:rsid w:val="00A2409D"/>
    <w:rsid w:val="00A25C09"/>
    <w:rsid w:val="00A4221F"/>
    <w:rsid w:val="00A52455"/>
    <w:rsid w:val="00A567AB"/>
    <w:rsid w:val="00A568BD"/>
    <w:rsid w:val="00A821A8"/>
    <w:rsid w:val="00A85FD8"/>
    <w:rsid w:val="00A9155A"/>
    <w:rsid w:val="00AB63D0"/>
    <w:rsid w:val="00AC534B"/>
    <w:rsid w:val="00AD2FFF"/>
    <w:rsid w:val="00AF0C5C"/>
    <w:rsid w:val="00AF4126"/>
    <w:rsid w:val="00AF78B7"/>
    <w:rsid w:val="00B00838"/>
    <w:rsid w:val="00B04AC8"/>
    <w:rsid w:val="00B12E2B"/>
    <w:rsid w:val="00B366B3"/>
    <w:rsid w:val="00B52D1C"/>
    <w:rsid w:val="00B72D37"/>
    <w:rsid w:val="00B81CC9"/>
    <w:rsid w:val="00B91AAD"/>
    <w:rsid w:val="00B91B9B"/>
    <w:rsid w:val="00B94FB9"/>
    <w:rsid w:val="00BC066B"/>
    <w:rsid w:val="00BC7279"/>
    <w:rsid w:val="00BC7299"/>
    <w:rsid w:val="00BD6AB6"/>
    <w:rsid w:val="00BD6C65"/>
    <w:rsid w:val="00BD77CD"/>
    <w:rsid w:val="00BE055A"/>
    <w:rsid w:val="00BE54A7"/>
    <w:rsid w:val="00BE55E7"/>
    <w:rsid w:val="00BE6E3F"/>
    <w:rsid w:val="00BF1142"/>
    <w:rsid w:val="00BF2AB4"/>
    <w:rsid w:val="00BF40F5"/>
    <w:rsid w:val="00BF59F7"/>
    <w:rsid w:val="00C03C84"/>
    <w:rsid w:val="00C04651"/>
    <w:rsid w:val="00C141E6"/>
    <w:rsid w:val="00C208B7"/>
    <w:rsid w:val="00C217B1"/>
    <w:rsid w:val="00C30D57"/>
    <w:rsid w:val="00C403F0"/>
    <w:rsid w:val="00C540FE"/>
    <w:rsid w:val="00C85F13"/>
    <w:rsid w:val="00CA5044"/>
    <w:rsid w:val="00CB2E55"/>
    <w:rsid w:val="00CD3572"/>
    <w:rsid w:val="00CE6089"/>
    <w:rsid w:val="00D02187"/>
    <w:rsid w:val="00D22625"/>
    <w:rsid w:val="00D41012"/>
    <w:rsid w:val="00D41CB6"/>
    <w:rsid w:val="00D71C2E"/>
    <w:rsid w:val="00D74062"/>
    <w:rsid w:val="00D750E6"/>
    <w:rsid w:val="00D83F74"/>
    <w:rsid w:val="00D85AA3"/>
    <w:rsid w:val="00D908B0"/>
    <w:rsid w:val="00DA4151"/>
    <w:rsid w:val="00DA4E58"/>
    <w:rsid w:val="00DE4EC2"/>
    <w:rsid w:val="00DE769C"/>
    <w:rsid w:val="00DE7DD3"/>
    <w:rsid w:val="00DF31EA"/>
    <w:rsid w:val="00DF43F6"/>
    <w:rsid w:val="00DF45BF"/>
    <w:rsid w:val="00DF50BF"/>
    <w:rsid w:val="00E21CB0"/>
    <w:rsid w:val="00E41715"/>
    <w:rsid w:val="00E42C2D"/>
    <w:rsid w:val="00E46D09"/>
    <w:rsid w:val="00E71350"/>
    <w:rsid w:val="00EB1384"/>
    <w:rsid w:val="00EC5DA1"/>
    <w:rsid w:val="00EC6366"/>
    <w:rsid w:val="00ED570D"/>
    <w:rsid w:val="00ED7F38"/>
    <w:rsid w:val="00EE0C32"/>
    <w:rsid w:val="00EE1292"/>
    <w:rsid w:val="00F00B05"/>
    <w:rsid w:val="00F03CA4"/>
    <w:rsid w:val="00F10045"/>
    <w:rsid w:val="00F21ECA"/>
    <w:rsid w:val="00F23D21"/>
    <w:rsid w:val="00F35441"/>
    <w:rsid w:val="00F542C7"/>
    <w:rsid w:val="00F65B89"/>
    <w:rsid w:val="00F67699"/>
    <w:rsid w:val="00F937EC"/>
    <w:rsid w:val="00F940EC"/>
    <w:rsid w:val="00F9539A"/>
    <w:rsid w:val="00F95702"/>
    <w:rsid w:val="00FA5440"/>
    <w:rsid w:val="00FB0ACE"/>
    <w:rsid w:val="00FD157F"/>
    <w:rsid w:val="00FE4B51"/>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8E547"/>
  <w15:docId w15:val="{BC7EC646-D22D-428E-AA37-1A631F0A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4DD"/>
    <w:rPr>
      <w:rFonts w:ascii="Times" w:hAnsi="Times"/>
      <w:sz w:val="24"/>
    </w:rPr>
  </w:style>
  <w:style w:type="paragraph" w:styleId="Heading1">
    <w:name w:val="heading 1"/>
    <w:basedOn w:val="Normal"/>
    <w:next w:val="Normal"/>
    <w:qFormat/>
    <w:rsid w:val="004A74DD"/>
    <w:pPr>
      <w:keepNext/>
      <w:pBdr>
        <w:top w:val="single" w:sz="12" w:space="0" w:color="auto"/>
        <w:left w:val="single" w:sz="12" w:space="0" w:color="auto"/>
        <w:right w:val="single" w:sz="12" w:space="0" w:color="auto"/>
      </w:pBdr>
      <w:tabs>
        <w:tab w:val="left" w:pos="540"/>
        <w:tab w:val="right" w:pos="8820"/>
      </w:tabs>
      <w:ind w:right="-720"/>
      <w:outlineLvl w:val="0"/>
    </w:pPr>
    <w:rPr>
      <w:b/>
      <w:sz w:val="48"/>
    </w:rPr>
  </w:style>
  <w:style w:type="paragraph" w:styleId="Heading2">
    <w:name w:val="heading 2"/>
    <w:basedOn w:val="Normal"/>
    <w:next w:val="Normal"/>
    <w:qFormat/>
    <w:rsid w:val="004A74DD"/>
    <w:pPr>
      <w:keepNext/>
      <w:pBdr>
        <w:top w:val="single" w:sz="12" w:space="0" w:color="auto"/>
        <w:left w:val="single" w:sz="12" w:space="0" w:color="auto"/>
        <w:right w:val="single" w:sz="12" w:space="0" w:color="auto"/>
      </w:pBdr>
      <w:tabs>
        <w:tab w:val="right" w:pos="8820"/>
      </w:tabs>
      <w:ind w:right="-720"/>
      <w:jc w:val="center"/>
      <w:outlineLvl w:val="1"/>
    </w:pPr>
    <w:rPr>
      <w:rFonts w:ascii="Palatino" w:hAnsi="Palatino"/>
      <w:b/>
      <w:sz w:val="48"/>
    </w:rPr>
  </w:style>
  <w:style w:type="paragraph" w:styleId="Heading3">
    <w:name w:val="heading 3"/>
    <w:basedOn w:val="Normal"/>
    <w:next w:val="Normal"/>
    <w:qFormat/>
    <w:rsid w:val="004A74DD"/>
    <w:pPr>
      <w:keepNext/>
      <w:pBdr>
        <w:top w:val="single" w:sz="12" w:space="0" w:color="auto"/>
        <w:left w:val="single" w:sz="12" w:space="0" w:color="auto"/>
        <w:right w:val="single" w:sz="12" w:space="0" w:color="auto"/>
      </w:pBdr>
      <w:tabs>
        <w:tab w:val="left" w:pos="360"/>
        <w:tab w:val="right" w:pos="8820"/>
      </w:tabs>
      <w:ind w:right="-720"/>
      <w:outlineLvl w:val="2"/>
    </w:pPr>
    <w:rPr>
      <w:b/>
      <w:sz w:val="36"/>
    </w:rPr>
  </w:style>
  <w:style w:type="paragraph" w:styleId="Heading4">
    <w:name w:val="heading 4"/>
    <w:basedOn w:val="Normal"/>
    <w:next w:val="Normal"/>
    <w:qFormat/>
    <w:rsid w:val="004A74DD"/>
    <w:pPr>
      <w:keepNext/>
      <w:pBdr>
        <w:top w:val="single" w:sz="12" w:space="0" w:color="auto"/>
        <w:left w:val="single" w:sz="12" w:space="0" w:color="auto"/>
        <w:right w:val="single" w:sz="12" w:space="0" w:color="auto"/>
      </w:pBdr>
      <w:tabs>
        <w:tab w:val="left" w:pos="360"/>
        <w:tab w:val="right" w:pos="8820"/>
      </w:tabs>
      <w:ind w:right="-720"/>
      <w:jc w:val="center"/>
      <w:outlineLvl w:val="3"/>
    </w:pPr>
    <w:rPr>
      <w:rFonts w:ascii="Palatino" w:hAnsi="Palatino"/>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74DD"/>
    <w:pPr>
      <w:pBdr>
        <w:top w:val="single" w:sz="12" w:space="0" w:color="auto"/>
        <w:left w:val="single" w:sz="12" w:space="0" w:color="auto"/>
        <w:right w:val="single" w:sz="12" w:space="0" w:color="auto"/>
      </w:pBdr>
      <w:tabs>
        <w:tab w:val="right" w:pos="8820"/>
      </w:tabs>
      <w:spacing w:before="120" w:after="120"/>
      <w:ind w:right="-720"/>
      <w:jc w:val="center"/>
    </w:pPr>
    <w:rPr>
      <w:rFonts w:ascii="Palatino" w:hAnsi="Palatino"/>
      <w:sz w:val="48"/>
    </w:rPr>
  </w:style>
  <w:style w:type="paragraph" w:styleId="Header">
    <w:name w:val="header"/>
    <w:basedOn w:val="Normal"/>
    <w:rsid w:val="008253A3"/>
    <w:pPr>
      <w:tabs>
        <w:tab w:val="center" w:pos="4320"/>
        <w:tab w:val="right" w:pos="8640"/>
      </w:tabs>
    </w:pPr>
  </w:style>
  <w:style w:type="paragraph" w:styleId="Footer">
    <w:name w:val="footer"/>
    <w:basedOn w:val="Normal"/>
    <w:rsid w:val="008253A3"/>
    <w:pPr>
      <w:tabs>
        <w:tab w:val="center" w:pos="4320"/>
        <w:tab w:val="right" w:pos="8640"/>
      </w:tabs>
    </w:pPr>
  </w:style>
  <w:style w:type="paragraph" w:customStyle="1" w:styleId="1">
    <w:name w:val="1."/>
    <w:basedOn w:val="Normal"/>
    <w:rsid w:val="00BC7299"/>
    <w:pPr>
      <w:ind w:left="1440" w:hanging="720"/>
      <w:jc w:val="both"/>
    </w:pPr>
    <w:rPr>
      <w:rFonts w:ascii="Times New Roman" w:hAnsi="Times New Roman"/>
    </w:rPr>
  </w:style>
  <w:style w:type="paragraph" w:customStyle="1" w:styleId="A">
    <w:name w:val="A."/>
    <w:basedOn w:val="Normal"/>
    <w:rsid w:val="00BC7299"/>
    <w:pPr>
      <w:keepNext/>
      <w:ind w:left="720" w:hanging="720"/>
      <w:jc w:val="both"/>
    </w:pPr>
    <w:rPr>
      <w:rFonts w:ascii="Times New Roman" w:hAnsi="Times New Roman"/>
    </w:rPr>
  </w:style>
  <w:style w:type="paragraph" w:customStyle="1" w:styleId="ATextChar">
    <w:name w:val="A. Text Char"/>
    <w:basedOn w:val="Normal"/>
    <w:link w:val="ATextCharChar"/>
    <w:rsid w:val="00BC7299"/>
    <w:pPr>
      <w:ind w:left="720" w:hanging="720"/>
      <w:jc w:val="both"/>
    </w:pPr>
    <w:rPr>
      <w:rFonts w:ascii="Times New Roman" w:hAnsi="Times New Roman"/>
    </w:rPr>
  </w:style>
  <w:style w:type="character" w:customStyle="1" w:styleId="ATextCharChar">
    <w:name w:val="A. Text Char Char"/>
    <w:basedOn w:val="DefaultParagraphFont"/>
    <w:link w:val="ATextChar"/>
    <w:rsid w:val="00BC7299"/>
    <w:rPr>
      <w:sz w:val="24"/>
      <w:lang w:val="en-US" w:eastAsia="en-US" w:bidi="ar-SA"/>
    </w:rPr>
  </w:style>
  <w:style w:type="table" w:styleId="TableGrid">
    <w:name w:val="Table Grid"/>
    <w:basedOn w:val="TableNormal"/>
    <w:rsid w:val="00BC72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E44E1"/>
  </w:style>
  <w:style w:type="paragraph" w:styleId="BalloonText">
    <w:name w:val="Balloon Text"/>
    <w:basedOn w:val="Normal"/>
    <w:semiHidden/>
    <w:rsid w:val="00D908B0"/>
    <w:rPr>
      <w:rFonts w:ascii="Tahoma" w:hAnsi="Tahoma" w:cs="Tahoma"/>
      <w:sz w:val="16"/>
      <w:szCs w:val="16"/>
    </w:rPr>
  </w:style>
  <w:style w:type="character" w:styleId="CommentReference">
    <w:name w:val="annotation reference"/>
    <w:basedOn w:val="DefaultParagraphFont"/>
    <w:rsid w:val="003D17D3"/>
    <w:rPr>
      <w:sz w:val="16"/>
      <w:szCs w:val="16"/>
    </w:rPr>
  </w:style>
  <w:style w:type="paragraph" w:styleId="CommentText">
    <w:name w:val="annotation text"/>
    <w:basedOn w:val="Normal"/>
    <w:link w:val="CommentTextChar"/>
    <w:rsid w:val="003D17D3"/>
    <w:rPr>
      <w:sz w:val="20"/>
    </w:rPr>
  </w:style>
  <w:style w:type="character" w:customStyle="1" w:styleId="CommentTextChar">
    <w:name w:val="Comment Text Char"/>
    <w:basedOn w:val="DefaultParagraphFont"/>
    <w:link w:val="CommentText"/>
    <w:rsid w:val="003D17D3"/>
    <w:rPr>
      <w:rFonts w:ascii="Times" w:hAnsi="Times"/>
    </w:rPr>
  </w:style>
  <w:style w:type="paragraph" w:styleId="CommentSubject">
    <w:name w:val="annotation subject"/>
    <w:basedOn w:val="CommentText"/>
    <w:next w:val="CommentText"/>
    <w:link w:val="CommentSubjectChar"/>
    <w:rsid w:val="003D17D3"/>
    <w:rPr>
      <w:b/>
      <w:bCs/>
    </w:rPr>
  </w:style>
  <w:style w:type="character" w:customStyle="1" w:styleId="CommentSubjectChar">
    <w:name w:val="Comment Subject Char"/>
    <w:basedOn w:val="CommentTextChar"/>
    <w:link w:val="CommentSubject"/>
    <w:rsid w:val="003D17D3"/>
    <w:rPr>
      <w:rFonts w:ascii="Times" w:hAnsi="Times"/>
      <w:b/>
      <w:bCs/>
    </w:rPr>
  </w:style>
  <w:style w:type="paragraph" w:styleId="ListParagraph">
    <w:name w:val="List Paragraph"/>
    <w:basedOn w:val="Normal"/>
    <w:uiPriority w:val="34"/>
    <w:qFormat/>
    <w:rsid w:val="006459EF"/>
    <w:pPr>
      <w:ind w:left="720"/>
      <w:contextualSpacing/>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CE62-AD07-4A1F-9AC7-4E98733C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Invoices and Related Documentation </vt:lpstr>
    </vt:vector>
  </TitlesOfParts>
  <Company>LLNL</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Invoices and Related Documentation</dc:title>
  <dc:subject/>
  <dc:creator>Procurement</dc:creator>
  <cp:keywords/>
  <dc:description/>
  <cp:lastModifiedBy>Ward, Gary M.</cp:lastModifiedBy>
  <cp:revision>26</cp:revision>
  <cp:lastPrinted>2007-04-03T20:09:00Z</cp:lastPrinted>
  <dcterms:created xsi:type="dcterms:W3CDTF">2020-02-28T01:19:00Z</dcterms:created>
  <dcterms:modified xsi:type="dcterms:W3CDTF">2020-04-03T20:36:00Z</dcterms:modified>
</cp:coreProperties>
</file>